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96B33CB" w:rsidR="00F110CD" w:rsidRPr="001B0BC0" w:rsidRDefault="00F110CD">
      <w:pPr>
        <w:pStyle w:val="Header"/>
        <w:tabs>
          <w:tab w:val="right" w:pos="9639"/>
        </w:tabs>
        <w:rPr>
          <w:noProof w:val="0"/>
          <w:color w:val="000000" w:themeColor="text1"/>
          <w:sz w:val="24"/>
          <w:szCs w:val="24"/>
          <w:lang w:val="de-DE"/>
        </w:rPr>
      </w:pPr>
      <w:r w:rsidRPr="026414D0">
        <w:rPr>
          <w:noProof w:val="0"/>
          <w:color w:val="000000" w:themeColor="text1"/>
          <w:sz w:val="24"/>
          <w:szCs w:val="24"/>
          <w:lang w:val="de-DE"/>
        </w:rPr>
        <w:t>3GPP TSG RA</w:t>
      </w:r>
      <w:r w:rsidR="00BA1872" w:rsidRPr="026414D0">
        <w:rPr>
          <w:noProof w:val="0"/>
          <w:color w:val="000000" w:themeColor="text1"/>
          <w:sz w:val="24"/>
          <w:szCs w:val="24"/>
          <w:lang w:val="de-DE"/>
        </w:rPr>
        <w:t xml:space="preserve">N WG1 </w:t>
      </w:r>
      <w:r w:rsidR="00B65452" w:rsidRPr="026414D0">
        <w:rPr>
          <w:noProof w:val="0"/>
          <w:color w:val="000000" w:themeColor="text1"/>
          <w:sz w:val="24"/>
          <w:szCs w:val="24"/>
          <w:lang w:val="de-DE"/>
        </w:rPr>
        <w:t>#</w:t>
      </w:r>
      <w:r w:rsidR="00E2789D" w:rsidRPr="026414D0">
        <w:rPr>
          <w:noProof w:val="0"/>
          <w:color w:val="000000" w:themeColor="text1"/>
          <w:sz w:val="24"/>
          <w:szCs w:val="24"/>
          <w:lang w:val="de-DE"/>
        </w:rPr>
        <w:t>10</w:t>
      </w:r>
      <w:r w:rsidR="003D62FA">
        <w:rPr>
          <w:noProof w:val="0"/>
          <w:color w:val="000000" w:themeColor="text1"/>
          <w:sz w:val="24"/>
          <w:szCs w:val="24"/>
          <w:lang w:val="de-DE"/>
        </w:rPr>
        <w:t>8</w:t>
      </w:r>
      <w:r w:rsidR="000C214C">
        <w:rPr>
          <w:noProof w:val="0"/>
          <w:color w:val="000000" w:themeColor="text1"/>
          <w:sz w:val="24"/>
          <w:szCs w:val="24"/>
          <w:lang w:val="de-DE"/>
        </w:rPr>
        <w:t>-</w:t>
      </w:r>
      <w:r w:rsidR="0061370C" w:rsidRPr="026414D0">
        <w:rPr>
          <w:noProof w:val="0"/>
          <w:color w:val="000000" w:themeColor="text1"/>
          <w:sz w:val="24"/>
          <w:szCs w:val="24"/>
          <w:lang w:val="de-DE"/>
        </w:rPr>
        <w:t>e</w:t>
      </w:r>
      <w:r w:rsidR="00127AEC">
        <w:rPr>
          <w:noProof w:val="0"/>
          <w:color w:val="000000" w:themeColor="text1"/>
          <w:sz w:val="24"/>
          <w:szCs w:val="24"/>
          <w:lang w:val="de-DE"/>
        </w:rPr>
        <w:tab/>
      </w:r>
      <w:r w:rsidR="00127AEC" w:rsidRPr="026414D0">
        <w:rPr>
          <w:noProof w:val="0"/>
          <w:color w:val="000000" w:themeColor="text1"/>
          <w:sz w:val="24"/>
          <w:szCs w:val="24"/>
          <w:lang w:val="de-DE"/>
        </w:rPr>
        <w:t>R1-</w:t>
      </w:r>
      <w:r w:rsidR="00127AEC" w:rsidRPr="026414D0">
        <w:rPr>
          <w:color w:val="000000" w:themeColor="text1"/>
          <w:lang w:val="de-DE"/>
        </w:rPr>
        <w:t xml:space="preserve"> </w:t>
      </w:r>
      <w:r w:rsidR="00127AEC" w:rsidRPr="026414D0">
        <w:rPr>
          <w:noProof w:val="0"/>
          <w:color w:val="000000" w:themeColor="text1"/>
          <w:sz w:val="24"/>
          <w:szCs w:val="24"/>
          <w:lang w:val="de-DE"/>
        </w:rPr>
        <w:t>2</w:t>
      </w:r>
      <w:r w:rsidR="00C41809">
        <w:rPr>
          <w:noProof w:val="0"/>
          <w:color w:val="000000" w:themeColor="text1"/>
          <w:sz w:val="24"/>
          <w:szCs w:val="24"/>
          <w:lang w:val="de-DE"/>
        </w:rPr>
        <w:t>201634</w:t>
      </w:r>
      <w:r w:rsidR="277470CE" w:rsidRPr="026414D0">
        <w:rPr>
          <w:noProof w:val="0"/>
          <w:color w:val="000000" w:themeColor="text1"/>
          <w:sz w:val="24"/>
          <w:szCs w:val="24"/>
          <w:lang w:val="de-DE"/>
        </w:rPr>
        <w:t xml:space="preserve">                                                                 </w:t>
      </w:r>
    </w:p>
    <w:p w14:paraId="30E02940" w14:textId="01FD5A5E" w:rsidR="00CA26CE" w:rsidRPr="00110E23" w:rsidRDefault="002E62C2" w:rsidP="00CA26CE">
      <w:pPr>
        <w:pStyle w:val="Header"/>
        <w:rPr>
          <w:noProof w:val="0"/>
          <w:color w:val="000000" w:themeColor="text1"/>
          <w:sz w:val="24"/>
          <w:szCs w:val="24"/>
          <w:lang w:val="de-DE"/>
        </w:rPr>
      </w:pPr>
      <w:r w:rsidRPr="002E62C2">
        <w:rPr>
          <w:noProof w:val="0"/>
          <w:color w:val="000000" w:themeColor="text1"/>
          <w:sz w:val="24"/>
          <w:szCs w:val="24"/>
          <w:lang w:val="de-DE"/>
        </w:rPr>
        <w:t>e-Meeting, February 21st – March 3rd, 2022</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56FEA337"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82999">
        <w:rPr>
          <w:rFonts w:cs="Arial"/>
          <w:b/>
          <w:bCs/>
          <w:color w:val="000000" w:themeColor="text1"/>
          <w:sz w:val="24"/>
          <w:szCs w:val="24"/>
          <w:lang w:val="en-US"/>
        </w:rPr>
        <w:t>8</w:t>
      </w:r>
      <w:r w:rsidR="00FD0F68" w:rsidRPr="00582999">
        <w:rPr>
          <w:rFonts w:cs="Arial"/>
          <w:b/>
          <w:bCs/>
          <w:color w:val="000000" w:themeColor="text1"/>
          <w:sz w:val="24"/>
          <w:szCs w:val="24"/>
          <w:lang w:val="en-US"/>
        </w:rPr>
        <w:t>.</w:t>
      </w:r>
      <w:r w:rsidR="00723A62" w:rsidRPr="00582999">
        <w:rPr>
          <w:rFonts w:cs="Arial"/>
          <w:b/>
          <w:bCs/>
          <w:color w:val="000000" w:themeColor="text1"/>
          <w:sz w:val="24"/>
          <w:szCs w:val="24"/>
          <w:lang w:val="en-US"/>
        </w:rPr>
        <w:t>5</w:t>
      </w:r>
      <w:r w:rsidR="00FD0F68" w:rsidRPr="00582999">
        <w:rPr>
          <w:rFonts w:cs="Arial"/>
          <w:b/>
          <w:bCs/>
          <w:color w:val="000000" w:themeColor="text1"/>
          <w:sz w:val="24"/>
          <w:szCs w:val="24"/>
          <w:lang w:val="en-US"/>
        </w:rPr>
        <w:t>.</w:t>
      </w:r>
      <w:r w:rsidR="007A071E" w:rsidRPr="00582999">
        <w:rPr>
          <w:rFonts w:cs="Arial"/>
          <w:b/>
          <w:bCs/>
          <w:color w:val="000000" w:themeColor="text1"/>
          <w:sz w:val="24"/>
          <w:szCs w:val="24"/>
          <w:lang w:val="en-US"/>
        </w:rPr>
        <w:t>1</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09EF9A1E" w:rsidR="0034111C" w:rsidRPr="001B7180" w:rsidRDefault="0034111C" w:rsidP="16512788">
      <w:pPr>
        <w:ind w:left="1985" w:hanging="1985"/>
        <w:rPr>
          <w:rFonts w:ascii="Arial" w:hAnsi="Arial" w:cs="Arial"/>
          <w:b/>
          <w:bCs/>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C41809">
        <w:rPr>
          <w:rFonts w:ascii="Arial" w:hAnsi="Arial" w:cs="Arial"/>
          <w:b/>
          <w:bCs/>
          <w:color w:val="000000" w:themeColor="text1"/>
          <w:sz w:val="24"/>
          <w:szCs w:val="24"/>
          <w:lang w:val="en-US"/>
        </w:rPr>
        <w:t>Maintenance of</w:t>
      </w:r>
      <w:r w:rsidR="00787536" w:rsidRPr="001B7180">
        <w:rPr>
          <w:rFonts w:ascii="Arial" w:hAnsi="Arial" w:cs="Arial"/>
          <w:b/>
          <w:bCs/>
          <w:sz w:val="24"/>
          <w:szCs w:val="24"/>
          <w:lang w:val="en-US"/>
        </w:rPr>
        <w:t xml:space="preserve"> </w:t>
      </w:r>
      <w:r w:rsidR="007A071E" w:rsidRPr="001B7180">
        <w:rPr>
          <w:rFonts w:ascii="Arial" w:hAnsi="Arial" w:cs="Arial"/>
          <w:b/>
          <w:bCs/>
          <w:sz w:val="24"/>
          <w:szCs w:val="24"/>
          <w:lang w:val="en-US"/>
        </w:rPr>
        <w:t>mitigating UE and gNB Rx/Tx timing errors</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BD2C57E" w14:textId="72BB8234" w:rsidR="000C7E1B"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I was approved</w:t>
      </w:r>
      <w:r w:rsidR="00891D6D">
        <w:rPr>
          <w:color w:val="000000" w:themeColor="text1"/>
          <w:lang w:val="en-US"/>
        </w:rPr>
        <w:t xml:space="preserve"> and at RAN#91 that WID was updated</w:t>
      </w:r>
      <w:r w:rsidRPr="003D3F36">
        <w:rPr>
          <w:color w:val="000000" w:themeColor="text1"/>
          <w:lang w:val="en-US"/>
        </w:rPr>
        <w:t xml:space="preserve"> on enhancements in Rel-17 to positioning [1]. This contribution discusses our views on the </w:t>
      </w:r>
      <w:r w:rsidR="007A071E">
        <w:rPr>
          <w:color w:val="000000" w:themeColor="text1"/>
          <w:lang w:val="en-US"/>
        </w:rPr>
        <w:t>enhancements related to UE and gNB Rx/Tx timing errors</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r w:rsidR="007A071E">
        <w:rPr>
          <w:color w:val="000000" w:themeColor="text1"/>
          <w:lang w:val="en-US"/>
        </w:rPr>
        <w:t xml:space="preserve">other </w:t>
      </w:r>
      <w:r w:rsidRPr="003D3F36">
        <w:rPr>
          <w:color w:val="000000" w:themeColor="text1"/>
          <w:lang w:val="en-US"/>
        </w:rPr>
        <w:t>views [2</w:t>
      </w:r>
      <w:r w:rsidR="008C3741">
        <w:rPr>
          <w:color w:val="000000" w:themeColor="text1"/>
          <w:lang w:val="en-US"/>
        </w:rPr>
        <w:t>-6</w:t>
      </w:r>
      <w:r w:rsidRPr="003D3F36">
        <w:rPr>
          <w:color w:val="000000" w:themeColor="text1"/>
          <w:lang w:val="en-US"/>
        </w:rPr>
        <w:t>].</w:t>
      </w:r>
      <w:r w:rsidR="000C7E1B">
        <w:rPr>
          <w:color w:val="000000" w:themeColor="text1"/>
          <w:lang w:val="en-US"/>
        </w:rPr>
        <w:t xml:space="preserve"> The objective from the WID is to</w:t>
      </w:r>
    </w:p>
    <w:p w14:paraId="4FEF3B87" w14:textId="77777777" w:rsidR="000C7E1B" w:rsidRDefault="000C7E1B" w:rsidP="00887F37">
      <w:pPr>
        <w:numPr>
          <w:ilvl w:val="0"/>
          <w:numId w:val="6"/>
        </w:numPr>
        <w:overflowPunct/>
        <w:autoSpaceDE/>
        <w:autoSpaceDN/>
        <w:adjustRightInd/>
        <w:spacing w:after="0" w:line="276" w:lineRule="auto"/>
        <w:ind w:left="714" w:hanging="357"/>
        <w:textAlignment w:val="auto"/>
      </w:pPr>
      <w:r>
        <w:t xml:space="preserve">Specify methods, measurements, signalling, and procedures for improving positioning accuracy </w:t>
      </w:r>
      <w:r w:rsidRPr="00673077">
        <w:t>of the Rel-16 NR positioning methods</w:t>
      </w:r>
      <w:r w:rsidRPr="00673077">
        <w:rPr>
          <w:u w:val="single"/>
        </w:rPr>
        <w:t xml:space="preserve"> </w:t>
      </w:r>
      <w:r>
        <w:t>by mitigating UE Rx/Tx and/or gNB Rx/Tx timing delays, including</w:t>
      </w:r>
      <w:r w:rsidRPr="00F448EE">
        <w:rPr>
          <w:rFonts w:eastAsia="MS Mincho"/>
        </w:rPr>
        <w:t xml:space="preserve"> </w:t>
      </w:r>
      <w:r>
        <w:rPr>
          <w:rFonts w:eastAsia="MS Mincho"/>
        </w:rPr>
        <w:t>[</w:t>
      </w:r>
      <w:r w:rsidRPr="00F448EE">
        <w:rPr>
          <w:rFonts w:eastAsia="MS Mincho"/>
        </w:rPr>
        <w:t>RAN1</w:t>
      </w:r>
      <w:r>
        <w:rPr>
          <w:rFonts w:eastAsia="MS Mincho"/>
        </w:rPr>
        <w:t>]</w:t>
      </w:r>
    </w:p>
    <w:p w14:paraId="27CB9232" w14:textId="77777777" w:rsidR="000C7E1B" w:rsidRPr="002D48F3" w:rsidRDefault="000C7E1B" w:rsidP="00887F37">
      <w:pPr>
        <w:numPr>
          <w:ilvl w:val="1"/>
          <w:numId w:val="6"/>
        </w:numPr>
        <w:overflowPunct/>
        <w:autoSpaceDE/>
        <w:autoSpaceDN/>
        <w:adjustRightInd/>
        <w:spacing w:after="0" w:line="276" w:lineRule="auto"/>
        <w:textAlignment w:val="auto"/>
        <w:rPr>
          <w:rFonts w:eastAsia="MS Mincho"/>
        </w:rPr>
      </w:pPr>
      <w:r>
        <w:rPr>
          <w:rFonts w:hint="eastAsia"/>
        </w:rPr>
        <w:t>DL, UL and DL+UL positioning methods</w:t>
      </w:r>
    </w:p>
    <w:p w14:paraId="207508E3" w14:textId="62860F4A" w:rsidR="00D62D9D" w:rsidRPr="00002176" w:rsidRDefault="000C7E1B" w:rsidP="00887F37">
      <w:pPr>
        <w:numPr>
          <w:ilvl w:val="1"/>
          <w:numId w:val="6"/>
        </w:numPr>
        <w:overflowPunct/>
        <w:autoSpaceDE/>
        <w:autoSpaceDN/>
        <w:adjustRightInd/>
        <w:spacing w:after="0" w:line="276" w:lineRule="auto"/>
        <w:textAlignment w:val="auto"/>
        <w:rPr>
          <w:rFonts w:eastAsia="MS Mincho"/>
        </w:rPr>
      </w:pPr>
      <w:r>
        <w:rPr>
          <w:rFonts w:hint="eastAsia"/>
        </w:rPr>
        <w:t>UE-based and UE-assisted positioning solutions</w:t>
      </w:r>
    </w:p>
    <w:p w14:paraId="4C0566A5" w14:textId="063F9CD7" w:rsidR="00002176" w:rsidRDefault="00002176" w:rsidP="00002176">
      <w:pPr>
        <w:overflowPunct/>
        <w:autoSpaceDE/>
        <w:autoSpaceDN/>
        <w:adjustRightInd/>
        <w:spacing w:after="0" w:line="276" w:lineRule="auto"/>
        <w:textAlignment w:val="auto"/>
      </w:pPr>
    </w:p>
    <w:p w14:paraId="51708FDD" w14:textId="670FE6C8" w:rsidR="00002176" w:rsidRDefault="00002176" w:rsidP="00002176">
      <w:pPr>
        <w:overflowPunct/>
        <w:autoSpaceDE/>
        <w:autoSpaceDN/>
        <w:adjustRightInd/>
        <w:spacing w:after="0" w:line="276" w:lineRule="auto"/>
        <w:textAlignment w:val="auto"/>
      </w:pPr>
      <w:r>
        <w:t xml:space="preserve">During RAN1#104-e the following agreement was reached: </w:t>
      </w:r>
    </w:p>
    <w:p w14:paraId="715AD2F8" w14:textId="77777777" w:rsidR="00002176" w:rsidRPr="00002176" w:rsidRDefault="00002176" w:rsidP="00002176">
      <w:pPr>
        <w:overflowPunct/>
        <w:autoSpaceDE/>
        <w:autoSpaceDN/>
        <w:adjustRightInd/>
        <w:spacing w:after="0" w:line="276" w:lineRule="auto"/>
        <w:textAlignment w:val="auto"/>
        <w:rPr>
          <w:rFonts w:eastAsia="MS Mincho"/>
          <w:lang w:val="en-US"/>
        </w:rPr>
      </w:pPr>
      <w:r w:rsidRPr="00002176">
        <w:rPr>
          <w:rFonts w:eastAsia="MS Mincho"/>
          <w:highlight w:val="green"/>
        </w:rPr>
        <w:t>Agreement:</w:t>
      </w:r>
    </w:p>
    <w:p w14:paraId="445C5B45" w14:textId="77777777" w:rsidR="00002176" w:rsidRPr="00002176" w:rsidRDefault="00002176" w:rsidP="00002176">
      <w:pPr>
        <w:overflowPunct/>
        <w:autoSpaceDE/>
        <w:autoSpaceDN/>
        <w:adjustRightInd/>
        <w:spacing w:after="0" w:line="276" w:lineRule="auto"/>
        <w:textAlignment w:val="auto"/>
        <w:rPr>
          <w:rFonts w:eastAsia="MS Mincho"/>
          <w:lang w:val="en-US"/>
        </w:rPr>
      </w:pPr>
      <w:r w:rsidRPr="00002176">
        <w:rPr>
          <w:rFonts w:eastAsia="MS Mincho"/>
        </w:rPr>
        <w:t>The following definitions are used for the purpose of discussion of internal timing errors (these terms are not agreed to be included in the specifications):</w:t>
      </w:r>
    </w:p>
    <w:p w14:paraId="2626448E" w14:textId="77777777" w:rsidR="00002176" w:rsidRPr="00002176" w:rsidRDefault="00002176" w:rsidP="00887F37">
      <w:pPr>
        <w:numPr>
          <w:ilvl w:val="0"/>
          <w:numId w:val="7"/>
        </w:numPr>
        <w:overflowPunct/>
        <w:autoSpaceDE/>
        <w:autoSpaceDN/>
        <w:adjustRightInd/>
        <w:spacing w:after="0" w:line="276" w:lineRule="auto"/>
        <w:textAlignment w:val="auto"/>
        <w:rPr>
          <w:rFonts w:eastAsia="MS Mincho"/>
          <w:lang w:val="en-US"/>
        </w:rPr>
      </w:pPr>
      <w:r w:rsidRPr="00002176">
        <w:rPr>
          <w:rFonts w:eastAsia="MS Mincho"/>
          <w:b/>
          <w:bCs/>
        </w:rPr>
        <w:t>Tx timing error</w:t>
      </w:r>
      <w:r w:rsidRPr="00002176">
        <w:rPr>
          <w:rFonts w:eastAsia="MS Mincho"/>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sidRPr="00002176">
        <w:rPr>
          <w:rFonts w:eastAsia="MS Mincho"/>
          <w:i/>
          <w:iCs/>
        </w:rPr>
        <w:t>Tx timing error</w:t>
      </w:r>
      <w:r w:rsidRPr="00002176">
        <w:rPr>
          <w:rFonts w:eastAsia="MS Mincho"/>
        </w:rPr>
        <w:t xml:space="preserve">. </w:t>
      </w:r>
    </w:p>
    <w:p w14:paraId="2520B0F0" w14:textId="77777777" w:rsidR="00002176" w:rsidRPr="00002176" w:rsidRDefault="00002176" w:rsidP="00887F37">
      <w:pPr>
        <w:numPr>
          <w:ilvl w:val="0"/>
          <w:numId w:val="7"/>
        </w:numPr>
        <w:overflowPunct/>
        <w:autoSpaceDE/>
        <w:autoSpaceDN/>
        <w:adjustRightInd/>
        <w:spacing w:after="0" w:line="276" w:lineRule="auto"/>
        <w:textAlignment w:val="auto"/>
        <w:rPr>
          <w:rFonts w:eastAsia="MS Mincho"/>
          <w:lang w:val="en-US"/>
        </w:rPr>
      </w:pPr>
      <w:r w:rsidRPr="00002176">
        <w:rPr>
          <w:rFonts w:eastAsia="MS Mincho"/>
          <w:b/>
          <w:bCs/>
        </w:rPr>
        <w:t>Rx timing error</w:t>
      </w:r>
      <w:r w:rsidRPr="00002176">
        <w:rPr>
          <w:rFonts w:eastAsia="MS Mincho"/>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7230A740" w14:textId="77777777" w:rsidR="00002176" w:rsidRPr="00002176" w:rsidRDefault="00002176" w:rsidP="00887F37">
      <w:pPr>
        <w:numPr>
          <w:ilvl w:val="0"/>
          <w:numId w:val="7"/>
        </w:numPr>
        <w:overflowPunct/>
        <w:autoSpaceDE/>
        <w:autoSpaceDN/>
        <w:adjustRightInd/>
        <w:spacing w:after="0" w:line="276" w:lineRule="auto"/>
        <w:textAlignment w:val="auto"/>
        <w:rPr>
          <w:rFonts w:eastAsia="MS Mincho"/>
          <w:lang w:val="en-US"/>
        </w:rPr>
      </w:pPr>
      <w:r w:rsidRPr="00002176">
        <w:rPr>
          <w:rFonts w:eastAsia="MS Mincho"/>
          <w:b/>
          <w:bCs/>
        </w:rPr>
        <w:t>UE Tx ‘timing error group’ (UE Tx TEG):</w:t>
      </w:r>
      <w:r w:rsidRPr="00002176">
        <w:rPr>
          <w:rFonts w:eastAsia="MS Mincho"/>
        </w:rPr>
        <w:t xml:space="preserve"> A UE Tx TEG is associated with the transmissions of one or more UL SRS resources for the positioning purpose, which have the Tx timing errors within a certain margin.</w:t>
      </w:r>
    </w:p>
    <w:p w14:paraId="4F8D27B4" w14:textId="77777777" w:rsidR="00002176" w:rsidRPr="00002176" w:rsidRDefault="00002176" w:rsidP="00887F37">
      <w:pPr>
        <w:numPr>
          <w:ilvl w:val="0"/>
          <w:numId w:val="7"/>
        </w:numPr>
        <w:overflowPunct/>
        <w:autoSpaceDE/>
        <w:autoSpaceDN/>
        <w:adjustRightInd/>
        <w:spacing w:after="0" w:line="276" w:lineRule="auto"/>
        <w:textAlignment w:val="auto"/>
        <w:rPr>
          <w:rFonts w:eastAsia="MS Mincho"/>
          <w:lang w:val="en-US"/>
        </w:rPr>
      </w:pPr>
      <w:r w:rsidRPr="00002176">
        <w:rPr>
          <w:rFonts w:eastAsia="MS Mincho"/>
          <w:b/>
          <w:bCs/>
        </w:rPr>
        <w:t>TRP Tx ‘timing error group’ (TRP Tx TEG):</w:t>
      </w:r>
      <w:r w:rsidRPr="00002176">
        <w:rPr>
          <w:rFonts w:eastAsia="MS Mincho"/>
        </w:rPr>
        <w:t xml:space="preserve"> A TRP Tx TEG is associated with the transmissions of one or more DL PRS resources, which have the Tx timing errors within a certain margin.</w:t>
      </w:r>
    </w:p>
    <w:p w14:paraId="7538FC21" w14:textId="77777777" w:rsidR="00002176" w:rsidRPr="00002176" w:rsidRDefault="00002176" w:rsidP="00887F37">
      <w:pPr>
        <w:numPr>
          <w:ilvl w:val="0"/>
          <w:numId w:val="7"/>
        </w:numPr>
        <w:overflowPunct/>
        <w:autoSpaceDE/>
        <w:autoSpaceDN/>
        <w:adjustRightInd/>
        <w:spacing w:after="0" w:line="276" w:lineRule="auto"/>
        <w:textAlignment w:val="auto"/>
        <w:rPr>
          <w:rFonts w:eastAsia="MS Mincho"/>
          <w:lang w:val="en-US"/>
        </w:rPr>
      </w:pPr>
      <w:r w:rsidRPr="00002176">
        <w:rPr>
          <w:rFonts w:eastAsia="MS Mincho"/>
          <w:b/>
          <w:bCs/>
        </w:rPr>
        <w:t>UE Rx ‘timing error group’ (UE Rx TEG):</w:t>
      </w:r>
      <w:r w:rsidRPr="00002176">
        <w:rPr>
          <w:rFonts w:eastAsia="MS Mincho"/>
        </w:rPr>
        <w:t xml:space="preserve"> A UE Rx TEG is associated with one or more DL measurements, which have the Rx timing errors within a certain margin.</w:t>
      </w:r>
    </w:p>
    <w:p w14:paraId="262D72BA" w14:textId="77777777" w:rsidR="00002176" w:rsidRPr="00002176" w:rsidRDefault="00002176" w:rsidP="00887F37">
      <w:pPr>
        <w:numPr>
          <w:ilvl w:val="0"/>
          <w:numId w:val="7"/>
        </w:numPr>
        <w:overflowPunct/>
        <w:autoSpaceDE/>
        <w:autoSpaceDN/>
        <w:adjustRightInd/>
        <w:spacing w:after="0" w:line="276" w:lineRule="auto"/>
        <w:textAlignment w:val="auto"/>
        <w:rPr>
          <w:rFonts w:eastAsia="MS Mincho"/>
          <w:lang w:val="en-US"/>
        </w:rPr>
      </w:pPr>
      <w:r w:rsidRPr="00002176">
        <w:rPr>
          <w:rFonts w:eastAsia="MS Mincho"/>
          <w:b/>
          <w:bCs/>
        </w:rPr>
        <w:t>TRP Rx ‘timing error group’ (TRP Rx TEG):</w:t>
      </w:r>
      <w:r w:rsidRPr="00002176">
        <w:rPr>
          <w:rFonts w:eastAsia="MS Mincho"/>
        </w:rPr>
        <w:t xml:space="preserve"> A TRP Rx TEG is associated with one or more UL measurements, which have the Rx timing errors within a margin.</w:t>
      </w:r>
    </w:p>
    <w:p w14:paraId="38972369" w14:textId="77777777" w:rsidR="00002176" w:rsidRPr="00002176" w:rsidRDefault="00002176" w:rsidP="00887F37">
      <w:pPr>
        <w:numPr>
          <w:ilvl w:val="0"/>
          <w:numId w:val="7"/>
        </w:numPr>
        <w:overflowPunct/>
        <w:autoSpaceDE/>
        <w:autoSpaceDN/>
        <w:adjustRightInd/>
        <w:spacing w:after="0" w:line="276" w:lineRule="auto"/>
        <w:textAlignment w:val="auto"/>
        <w:rPr>
          <w:rFonts w:eastAsia="MS Mincho"/>
          <w:lang w:val="en-US"/>
        </w:rPr>
      </w:pPr>
      <w:r w:rsidRPr="00002176">
        <w:rPr>
          <w:rFonts w:eastAsia="MS Mincho"/>
          <w:b/>
          <w:bCs/>
        </w:rPr>
        <w:t>UE RxTx ‘timing error group’ (UE RxTx TEG):</w:t>
      </w:r>
      <w:r w:rsidRPr="00002176">
        <w:rPr>
          <w:rFonts w:eastAsia="MS Mincho"/>
        </w:rPr>
        <w:t xml:space="preserve"> A UE RxTx TEG is associated with one or more UE Rx-Tx time difference measurements, and one or more UL SRS resources for the positioning purpose, which have the ‘Rx timing errors+Tx timing errors’ within a certain margin.</w:t>
      </w:r>
    </w:p>
    <w:p w14:paraId="68157C71" w14:textId="15653416" w:rsidR="00002176" w:rsidRPr="006F48E3" w:rsidRDefault="00002176" w:rsidP="00887F37">
      <w:pPr>
        <w:numPr>
          <w:ilvl w:val="0"/>
          <w:numId w:val="7"/>
        </w:numPr>
        <w:overflowPunct/>
        <w:autoSpaceDE/>
        <w:autoSpaceDN/>
        <w:adjustRightInd/>
        <w:spacing w:after="0" w:line="276" w:lineRule="auto"/>
        <w:textAlignment w:val="auto"/>
        <w:rPr>
          <w:rFonts w:eastAsia="MS Mincho"/>
          <w:lang w:val="en-US"/>
        </w:rPr>
      </w:pPr>
      <w:r w:rsidRPr="00002176">
        <w:rPr>
          <w:rFonts w:eastAsia="MS Mincho"/>
          <w:b/>
          <w:bCs/>
        </w:rPr>
        <w:lastRenderedPageBreak/>
        <w:t>TRP RxTx ‘timing error group’ (TRP RxTx TEG):</w:t>
      </w:r>
      <w:r w:rsidRPr="00002176">
        <w:rPr>
          <w:rFonts w:eastAsia="MS Mincho"/>
        </w:rPr>
        <w:t xml:space="preserve"> A TRP RxTx TEG is associated with one or more gNB Rx-Tx time difference measurements and one or more DL PRS resources, which have the ‘Rx timing errors+Tx timing errors’ within a certain margin.</w:t>
      </w:r>
    </w:p>
    <w:p w14:paraId="30E15393" w14:textId="3E681202" w:rsidR="00015EFF" w:rsidRPr="003A4DBF" w:rsidRDefault="52562533" w:rsidP="002E1293">
      <w:pPr>
        <w:pStyle w:val="Heading1"/>
        <w:rPr>
          <w:color w:val="000000" w:themeColor="text1"/>
          <w:lang w:val="en-US"/>
        </w:rPr>
      </w:pPr>
      <w:r w:rsidRPr="003D3F36">
        <w:rPr>
          <w:color w:val="000000" w:themeColor="text1"/>
          <w:lang w:val="en-US"/>
        </w:rPr>
        <w:t>Discussion</w:t>
      </w:r>
      <w:bookmarkEnd w:id="0"/>
    </w:p>
    <w:p w14:paraId="2AEB3404" w14:textId="74B74E3B" w:rsidR="00E40963" w:rsidRDefault="00E40963" w:rsidP="00002176">
      <w:pPr>
        <w:pStyle w:val="Heading2"/>
        <w:rPr>
          <w:lang w:val="en-US" w:eastAsia="ja-JP"/>
        </w:rPr>
      </w:pPr>
      <w:r>
        <w:rPr>
          <w:lang w:val="en-US" w:eastAsia="ja-JP"/>
        </w:rPr>
        <w:t xml:space="preserve">PRU in Rel-17 </w:t>
      </w:r>
      <w:r>
        <w:rPr>
          <w:lang w:val="en-US" w:eastAsia="ja-JP"/>
        </w:rPr>
        <w:tab/>
      </w:r>
    </w:p>
    <w:p w14:paraId="374124DF" w14:textId="242B7C1E" w:rsidR="00E40963" w:rsidRDefault="00E40963" w:rsidP="00E40963">
      <w:pPr>
        <w:rPr>
          <w:lang w:val="en-US" w:eastAsia="ja-JP"/>
        </w:rPr>
      </w:pPr>
      <w:r>
        <w:rPr>
          <w:lang w:val="en-US" w:eastAsia="ja-JP"/>
        </w:rPr>
        <w:t>RAN1 agreed the following:</w:t>
      </w:r>
    </w:p>
    <w:p w14:paraId="41D52ED6" w14:textId="77777777" w:rsidR="00E40963" w:rsidRDefault="00E40963" w:rsidP="00E40963">
      <w:pPr>
        <w:rPr>
          <w:lang w:eastAsia="x-none"/>
        </w:rPr>
      </w:pPr>
      <w:r>
        <w:rPr>
          <w:highlight w:val="green"/>
          <w:lang w:eastAsia="x-none"/>
        </w:rPr>
        <w:t>Agreement:</w:t>
      </w:r>
      <w:r w:rsidRPr="0072383D">
        <w:rPr>
          <w:rFonts w:eastAsia="MS Mincho"/>
          <w:highlight w:val="yellow"/>
          <w:lang w:eastAsia="ja-JP"/>
        </w:rPr>
        <w:t xml:space="preserve"> </w:t>
      </w:r>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5</w:t>
      </w:r>
      <w:r w:rsidRPr="008F604F">
        <w:rPr>
          <w:rFonts w:eastAsia="MS Mincho"/>
          <w:highlight w:val="yellow"/>
          <w:lang w:eastAsia="ja-JP"/>
        </w:rPr>
        <w:t>-e)</w:t>
      </w:r>
    </w:p>
    <w:p w14:paraId="2A72925F" w14:textId="77777777" w:rsidR="00E40963" w:rsidRDefault="00E40963" w:rsidP="00E40963">
      <w:pPr>
        <w:spacing w:line="252" w:lineRule="atLeast"/>
        <w:jc w:val="both"/>
      </w:pPr>
      <w:r>
        <w:t>Send an LS to RAN2/RAN3 (cc SA2), including the following content:</w:t>
      </w:r>
    </w:p>
    <w:p w14:paraId="08661D0F" w14:textId="77777777" w:rsidR="00E40963" w:rsidRDefault="00E40963" w:rsidP="00E40963">
      <w:pPr>
        <w:numPr>
          <w:ilvl w:val="0"/>
          <w:numId w:val="19"/>
        </w:numPr>
        <w:tabs>
          <w:tab w:val="left" w:pos="720"/>
        </w:tabs>
        <w:overflowPunct/>
        <w:autoSpaceDE/>
        <w:autoSpaceDN/>
        <w:adjustRightInd/>
        <w:spacing w:after="0" w:line="252" w:lineRule="atLeast"/>
        <w:jc w:val="both"/>
        <w:textAlignment w:val="auto"/>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5075740F" w14:textId="77777777" w:rsidR="00E40963" w:rsidRDefault="00E40963" w:rsidP="00E40963">
      <w:pPr>
        <w:numPr>
          <w:ilvl w:val="0"/>
          <w:numId w:val="19"/>
        </w:numPr>
        <w:overflowPunct/>
        <w:autoSpaceDE/>
        <w:autoSpaceDN/>
        <w:adjustRightInd/>
        <w:spacing w:after="0" w:line="252" w:lineRule="atLeast"/>
        <w:jc w:val="both"/>
        <w:textAlignment w:val="auto"/>
        <w:rPr>
          <w:sz w:val="21"/>
        </w:rPr>
      </w:pPr>
      <w:r>
        <w:t xml:space="preserve">Notes: </w:t>
      </w:r>
    </w:p>
    <w:p w14:paraId="44F23259" w14:textId="77777777" w:rsidR="00E40963" w:rsidRDefault="00E40963" w:rsidP="00E40963">
      <w:pPr>
        <w:numPr>
          <w:ilvl w:val="1"/>
          <w:numId w:val="19"/>
        </w:numPr>
        <w:overflowPunct/>
        <w:autoSpaceDE/>
        <w:autoSpaceDN/>
        <w:adjustRightInd/>
        <w:spacing w:after="0" w:line="252" w:lineRule="atLeast"/>
        <w:jc w:val="both"/>
        <w:textAlignment w:val="auto"/>
      </w:pPr>
      <w:r>
        <w:t>The term “positioning reference unit (PRU)” is only used as a terminology in this discussion.  PRU does not necessarily mean an introduction of a new network node.</w:t>
      </w:r>
    </w:p>
    <w:p w14:paraId="1A826470" w14:textId="77777777" w:rsidR="00E40963" w:rsidRDefault="00E40963" w:rsidP="00E40963">
      <w:pPr>
        <w:numPr>
          <w:ilvl w:val="1"/>
          <w:numId w:val="19"/>
        </w:numPr>
        <w:overflowPunct/>
        <w:autoSpaceDE/>
        <w:autoSpaceDN/>
        <w:adjustRightInd/>
        <w:spacing w:after="0" w:line="252" w:lineRule="atLeast"/>
        <w:jc w:val="both"/>
        <w:textAlignment w:val="auto"/>
      </w:pPr>
      <w:r>
        <w:t>PRU may support, at least, some of the Rel-16 positioning functionalities of UE, if agreed, which is up to RAN2.  The positioning functionalities may include, but not limited to, the following:</w:t>
      </w:r>
    </w:p>
    <w:p w14:paraId="1753E9F1" w14:textId="77777777" w:rsidR="00E40963" w:rsidRDefault="00E40963" w:rsidP="00E40963">
      <w:pPr>
        <w:numPr>
          <w:ilvl w:val="2"/>
          <w:numId w:val="19"/>
        </w:numPr>
        <w:overflowPunct/>
        <w:autoSpaceDE/>
        <w:autoSpaceDN/>
        <w:adjustRightInd/>
        <w:spacing w:after="0" w:line="252" w:lineRule="atLeast"/>
        <w:jc w:val="both"/>
        <w:textAlignment w:val="auto"/>
      </w:pPr>
      <w:r>
        <w:t>Provide the positioning measurements (e.g., RSTD, RSRP, Rx-Tx time differences)</w:t>
      </w:r>
    </w:p>
    <w:p w14:paraId="09428072" w14:textId="77777777" w:rsidR="00E40963" w:rsidRDefault="00E40963" w:rsidP="00E40963">
      <w:pPr>
        <w:numPr>
          <w:ilvl w:val="2"/>
          <w:numId w:val="19"/>
        </w:numPr>
        <w:overflowPunct/>
        <w:autoSpaceDE/>
        <w:autoSpaceDN/>
        <w:adjustRightInd/>
        <w:spacing w:after="0" w:line="252" w:lineRule="atLeast"/>
        <w:jc w:val="both"/>
        <w:textAlignment w:val="auto"/>
      </w:pPr>
      <w:r>
        <w:t>Transmit the UL SRS signals for positioning</w:t>
      </w:r>
    </w:p>
    <w:p w14:paraId="57464A3D" w14:textId="77777777" w:rsidR="00E40963" w:rsidRDefault="00E40963" w:rsidP="00E40963">
      <w:pPr>
        <w:numPr>
          <w:ilvl w:val="1"/>
          <w:numId w:val="19"/>
        </w:numPr>
        <w:overflowPunct/>
        <w:autoSpaceDE/>
        <w:autoSpaceDN/>
        <w:adjustRightInd/>
        <w:spacing w:after="0" w:line="252" w:lineRule="atLeast"/>
        <w:jc w:val="both"/>
        <w:textAlignment w:val="auto"/>
      </w:pPr>
      <w:r>
        <w:t>PRU may be requested by the LMF to provide its own known location coordinate information to the LMF. If the antenna orientation information of the PRU is known, the information may also be requested by the LMF.</w:t>
      </w:r>
    </w:p>
    <w:p w14:paraId="33454498" w14:textId="3AC911EA" w:rsidR="00E40963" w:rsidRDefault="00E40963" w:rsidP="00E40963">
      <w:pPr>
        <w:rPr>
          <w:lang w:val="en-US" w:eastAsia="ja-JP"/>
        </w:rPr>
      </w:pPr>
    </w:p>
    <w:p w14:paraId="4EC10411" w14:textId="7D4712EE" w:rsidR="00E40963" w:rsidRDefault="00E40963" w:rsidP="00E40963">
      <w:pPr>
        <w:rPr>
          <w:lang w:val="en-US" w:eastAsia="ja-JP"/>
        </w:rPr>
      </w:pPr>
      <w:r>
        <w:rPr>
          <w:lang w:val="en-US" w:eastAsia="ja-JP"/>
        </w:rPr>
        <w:t xml:space="preserve">The other WGs have been discussing the PRU feature and RAN2 has sent a reply LS to RAN1 in </w:t>
      </w:r>
      <w:r w:rsidRPr="00E40963">
        <w:rPr>
          <w:lang w:val="en-US" w:eastAsia="ja-JP"/>
        </w:rPr>
        <w:t>R1-2200857</w:t>
      </w:r>
      <w:r>
        <w:rPr>
          <w:lang w:val="en-US" w:eastAsia="ja-JP"/>
        </w:rPr>
        <w:t xml:space="preserve">. In that LS there are two requested actions of RAN1: </w:t>
      </w:r>
    </w:p>
    <w:p w14:paraId="1AEA7710" w14:textId="0BC4E101" w:rsidR="00E40963" w:rsidRDefault="00646B52" w:rsidP="00E40963">
      <w:pPr>
        <w:rPr>
          <w:lang w:val="en-US" w:eastAsia="ja-JP"/>
        </w:rPr>
      </w:pPr>
      <w:r>
        <w:rPr>
          <w:lang w:val="en-US" w:eastAsia="ja-JP"/>
        </w:rPr>
        <w:t>“</w:t>
      </w:r>
      <w:r w:rsidR="00E40963" w:rsidRPr="00E40963">
        <w:rPr>
          <w:lang w:val="en-US" w:eastAsia="ja-JP"/>
        </w:rPr>
        <w:t>RAN2 kindly asks RAN1 whether the LMF determined "correction information" obtained from PRU measurements need to be provided to target UEs for UE-based mode of operation, and if so, kindly asks RAN1 to provide further details on the specific "correction information" which need to be provided to target UEs.</w:t>
      </w:r>
      <w:r w:rsidR="00E40963" w:rsidRPr="00E40963">
        <w:rPr>
          <w:lang w:val="en-US" w:eastAsia="ja-JP"/>
        </w:rPr>
        <w:br/>
        <w:t>RAN2 also kindly asks RAN1 to provide further details on the "PRU antenna orientation information" which should be provided to an LMF.</w:t>
      </w:r>
      <w:r>
        <w:rPr>
          <w:lang w:val="en-US" w:eastAsia="ja-JP"/>
        </w:rPr>
        <w:t>”</w:t>
      </w:r>
    </w:p>
    <w:p w14:paraId="2A57464E" w14:textId="141B42CD" w:rsidR="00E40963" w:rsidRDefault="00E40963" w:rsidP="00E40963">
      <w:pPr>
        <w:rPr>
          <w:lang w:val="en-US" w:eastAsia="ja-JP"/>
        </w:rPr>
      </w:pPr>
      <w:r>
        <w:rPr>
          <w:lang w:val="en-US" w:eastAsia="ja-JP"/>
        </w:rPr>
        <w:t xml:space="preserve">For the first question from RAN2 on the LMF providing correction information: the original RAN1 agreement did not mention corrections data or UE-based positioning. Our view is that for Rel-17 PRU should be enabled for UE-assisted positioning with highest priority. We are open to discussing UE-based but considering the stage of the WI it may be best to first enable PRU for UE-assisted positioning where there will not need to be long debate on which correction data can be signaled and how it would look. </w:t>
      </w:r>
    </w:p>
    <w:p w14:paraId="74DE76CE" w14:textId="6407BAC1" w:rsidR="00E40963" w:rsidRDefault="00E40963" w:rsidP="00E40963">
      <w:pPr>
        <w:rPr>
          <w:lang w:val="en-US" w:eastAsia="ja-JP"/>
        </w:rPr>
      </w:pPr>
      <w:r w:rsidRPr="00E40963">
        <w:rPr>
          <w:b/>
          <w:bCs/>
          <w:lang w:val="en-US" w:eastAsia="ja-JP"/>
        </w:rPr>
        <w:t xml:space="preserve">Proposal </w:t>
      </w:r>
      <w:r w:rsidR="004B467F">
        <w:rPr>
          <w:b/>
          <w:bCs/>
          <w:lang w:val="en-US" w:eastAsia="ja-JP"/>
        </w:rPr>
        <w:t>1</w:t>
      </w:r>
      <w:r>
        <w:rPr>
          <w:lang w:val="en-US" w:eastAsia="ja-JP"/>
        </w:rPr>
        <w:t xml:space="preserve">: Prioritize UE-assisted PRU in Rel-17 and send an LS to RAN2 informing them of this decision. </w:t>
      </w:r>
    </w:p>
    <w:p w14:paraId="1BEF92BA" w14:textId="0DEBC65E" w:rsidR="00E40963" w:rsidRDefault="00E40963" w:rsidP="00E40963">
      <w:pPr>
        <w:rPr>
          <w:lang w:val="en-US" w:eastAsia="ja-JP"/>
        </w:rPr>
      </w:pPr>
      <w:r>
        <w:rPr>
          <w:lang w:val="en-US" w:eastAsia="ja-JP"/>
        </w:rPr>
        <w:t>On the second question from RAN2: Our understanding of the antenna orientation information is simply the orientation of the PRU device antenna. For example</w:t>
      </w:r>
      <w:r w:rsidR="00CD0DF7">
        <w:rPr>
          <w:lang w:val="en-US" w:eastAsia="ja-JP"/>
        </w:rPr>
        <w:t>,</w:t>
      </w:r>
      <w:r>
        <w:rPr>
          <w:lang w:val="en-US" w:eastAsia="ja-JP"/>
        </w:rPr>
        <w:t xml:space="preserve"> this could be signaled as a 3D angle (azimuth and elevation) in the global coordinate system of where the antenna sits. </w:t>
      </w:r>
      <w:r w:rsidR="00CD0DF7">
        <w:rPr>
          <w:lang w:val="en-US" w:eastAsia="ja-JP"/>
        </w:rPr>
        <w:t>E.g., if the antenna is perpendicular to the north direction then the azimuth angle would be zero.</w:t>
      </w:r>
    </w:p>
    <w:p w14:paraId="5E0FCE4D" w14:textId="32FEA64B" w:rsidR="00CD0DF7" w:rsidRPr="00E40963" w:rsidRDefault="00CD0DF7" w:rsidP="00E40963">
      <w:pPr>
        <w:rPr>
          <w:lang w:val="en-US" w:eastAsia="ja-JP"/>
        </w:rPr>
      </w:pPr>
      <w:r w:rsidRPr="00CD0DF7">
        <w:rPr>
          <w:b/>
          <w:bCs/>
          <w:lang w:val="en-US" w:eastAsia="ja-JP"/>
        </w:rPr>
        <w:t xml:space="preserve">Proposal </w:t>
      </w:r>
      <w:r w:rsidR="004B467F">
        <w:rPr>
          <w:b/>
          <w:bCs/>
          <w:lang w:val="en-US" w:eastAsia="ja-JP"/>
        </w:rPr>
        <w:t>2</w:t>
      </w:r>
      <w:r>
        <w:rPr>
          <w:lang w:val="en-US" w:eastAsia="ja-JP"/>
        </w:rPr>
        <w:t>: Include in the reply LS to RAN2 that the PRU antenna orientation is the 3D angle in the global coordinate system at which the PRU antenna is location.</w:t>
      </w:r>
    </w:p>
    <w:p w14:paraId="4582A989" w14:textId="69D536AC" w:rsidR="00DC7581" w:rsidRPr="00CD0DF7" w:rsidRDefault="00E40963" w:rsidP="00CD0DF7">
      <w:pPr>
        <w:pStyle w:val="Heading2"/>
        <w:rPr>
          <w:lang w:val="en-US" w:eastAsia="ja-JP"/>
        </w:rPr>
      </w:pPr>
      <w:r>
        <w:rPr>
          <w:lang w:val="en-US" w:eastAsia="ja-JP"/>
        </w:rPr>
        <w:t xml:space="preserve">TEG Related Issues </w:t>
      </w:r>
      <w:r w:rsidR="00002176">
        <w:rPr>
          <w:lang w:val="en-US" w:eastAsia="ja-JP"/>
        </w:rPr>
        <w:t xml:space="preserve"> </w:t>
      </w:r>
      <w:r w:rsidR="00002176">
        <w:rPr>
          <w:lang w:val="en-US" w:eastAsia="ja-JP"/>
        </w:rPr>
        <w:tab/>
      </w:r>
      <w:r w:rsidR="00002176">
        <w:rPr>
          <w:lang w:val="en-US" w:eastAsia="ja-JP"/>
        </w:rPr>
        <w:tab/>
      </w:r>
      <w:r w:rsidR="00002176">
        <w:rPr>
          <w:lang w:val="en-US" w:eastAsia="ja-JP"/>
        </w:rPr>
        <w:tab/>
      </w:r>
      <w:r w:rsidR="00DC7581" w:rsidRPr="00CD0DF7">
        <w:rPr>
          <w:lang w:val="en-US" w:eastAsia="ja-JP"/>
        </w:rPr>
        <w:t xml:space="preserve">   </w:t>
      </w:r>
    </w:p>
    <w:p w14:paraId="2F2CE3EC" w14:textId="248829F8" w:rsidR="00767C14" w:rsidRDefault="00767C14" w:rsidP="00D100B4">
      <w:pPr>
        <w:jc w:val="both"/>
        <w:rPr>
          <w:lang w:val="en-US" w:eastAsia="ja-JP"/>
        </w:rPr>
      </w:pPr>
      <w:r>
        <w:rPr>
          <w:lang w:val="en-US" w:eastAsia="ja-JP"/>
        </w:rPr>
        <w:t>At RAN1#10</w:t>
      </w:r>
      <w:r w:rsidR="00CD0DF7">
        <w:rPr>
          <w:lang w:val="en-US" w:eastAsia="ja-JP"/>
        </w:rPr>
        <w:t>7</w:t>
      </w:r>
      <w:r>
        <w:rPr>
          <w:lang w:val="en-US" w:eastAsia="ja-JP"/>
        </w:rPr>
        <w:t xml:space="preserve"> the following </w:t>
      </w:r>
      <w:r w:rsidR="00CD0DF7">
        <w:rPr>
          <w:lang w:val="en-US" w:eastAsia="ja-JP"/>
        </w:rPr>
        <w:t>agreement</w:t>
      </w:r>
      <w:r>
        <w:rPr>
          <w:lang w:val="en-US" w:eastAsia="ja-JP"/>
        </w:rPr>
        <w:t xml:space="preserve"> was reached: </w:t>
      </w:r>
    </w:p>
    <w:p w14:paraId="1434E723" w14:textId="77777777" w:rsidR="00CD0DF7" w:rsidRDefault="00CD0DF7" w:rsidP="00CD0DF7">
      <w:pPr>
        <w:rPr>
          <w:b/>
        </w:rPr>
      </w:pPr>
      <w:r>
        <w:rPr>
          <w:b/>
          <w:highlight w:val="green"/>
        </w:rPr>
        <w:t>Agreement</w:t>
      </w:r>
      <w:r>
        <w:rPr>
          <w:rFonts w:eastAsia="MS Mincho"/>
          <w:highlight w:val="yellow"/>
          <w:lang w:eastAsia="ja-JP"/>
        </w:rPr>
        <w:t>(RAN1#107-e</w:t>
      </w:r>
      <w:r w:rsidRPr="00DC3D0E">
        <w:rPr>
          <w:rFonts w:eastAsia="MS Mincho"/>
          <w:highlight w:val="yellow"/>
          <w:lang w:eastAsia="ja-JP"/>
        </w:rPr>
        <w:t>)</w:t>
      </w:r>
      <w:r w:rsidRPr="008F604F">
        <w:rPr>
          <w:rFonts w:eastAsia="MS Mincho"/>
          <w:highlight w:val="yellow"/>
          <w:lang w:eastAsia="ja-JP"/>
        </w:rPr>
        <w:t xml:space="preserve"> </w:t>
      </w:r>
    </w:p>
    <w:p w14:paraId="4C93F398" w14:textId="77777777" w:rsidR="00CD0DF7" w:rsidRDefault="00CD0DF7" w:rsidP="00CD0DF7">
      <w:r>
        <w:lastRenderedPageBreak/>
        <w:t>Confirm and modify the working assumption with the following modifications:</w:t>
      </w:r>
    </w:p>
    <w:p w14:paraId="62F4EBCD" w14:textId="77777777" w:rsidR="00CD0DF7" w:rsidRPr="00CD0DF7" w:rsidRDefault="00CD0DF7" w:rsidP="00CD0DF7">
      <w:pPr>
        <w:pStyle w:val="ListParagraph"/>
        <w:numPr>
          <w:ilvl w:val="0"/>
          <w:numId w:val="13"/>
        </w:numPr>
        <w:tabs>
          <w:tab w:val="left" w:pos="360"/>
          <w:tab w:val="left" w:pos="720"/>
        </w:tabs>
        <w:rPr>
          <w:sz w:val="20"/>
          <w:szCs w:val="20"/>
        </w:rPr>
      </w:pPr>
      <w:r w:rsidRPr="00CD0DF7">
        <w:rPr>
          <w:sz w:val="20"/>
          <w:szCs w:val="20"/>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690712A7" w14:textId="77777777" w:rsidR="00CD0DF7" w:rsidRPr="00CD0DF7" w:rsidRDefault="00CD0DF7" w:rsidP="00CD0DF7">
      <w:pPr>
        <w:pStyle w:val="ListParagraph"/>
        <w:numPr>
          <w:ilvl w:val="1"/>
          <w:numId w:val="13"/>
        </w:numPr>
        <w:tabs>
          <w:tab w:val="left" w:pos="360"/>
          <w:tab w:val="left" w:pos="720"/>
        </w:tabs>
        <w:rPr>
          <w:sz w:val="20"/>
          <w:szCs w:val="20"/>
        </w:rPr>
      </w:pPr>
      <w:r w:rsidRPr="00CD0DF7">
        <w:rPr>
          <w:sz w:val="20"/>
          <w:szCs w:val="20"/>
        </w:rPr>
        <w:t>The serving gNB should forward the association information provided by the UE to the LMF.</w:t>
      </w:r>
    </w:p>
    <w:p w14:paraId="4F63822F" w14:textId="77777777" w:rsidR="00CD0DF7" w:rsidRPr="00CD0DF7" w:rsidRDefault="00CD0DF7" w:rsidP="00CD0DF7">
      <w:pPr>
        <w:pStyle w:val="ListParagraph"/>
        <w:numPr>
          <w:ilvl w:val="2"/>
          <w:numId w:val="13"/>
        </w:numPr>
        <w:tabs>
          <w:tab w:val="left" w:pos="360"/>
          <w:tab w:val="left" w:pos="720"/>
        </w:tabs>
        <w:rPr>
          <w:strike/>
          <w:color w:val="FF0000"/>
          <w:sz w:val="20"/>
          <w:szCs w:val="20"/>
        </w:rPr>
      </w:pPr>
      <w:r w:rsidRPr="00CD0DF7">
        <w:rPr>
          <w:strike/>
          <w:color w:val="FF0000"/>
          <w:sz w:val="20"/>
          <w:szCs w:val="20"/>
        </w:rPr>
        <w:t>FFS: whether to support the serving gNB to forward the association information to the neighboring gNBs</w:t>
      </w:r>
    </w:p>
    <w:p w14:paraId="37862608" w14:textId="77777777" w:rsidR="00CD0DF7" w:rsidRPr="00CD0DF7" w:rsidRDefault="00CD0DF7" w:rsidP="00CD0DF7">
      <w:pPr>
        <w:pStyle w:val="ListParagraph"/>
        <w:numPr>
          <w:ilvl w:val="1"/>
          <w:numId w:val="13"/>
        </w:numPr>
        <w:tabs>
          <w:tab w:val="left" w:pos="360"/>
          <w:tab w:val="left" w:pos="720"/>
        </w:tabs>
        <w:rPr>
          <w:sz w:val="20"/>
          <w:szCs w:val="20"/>
        </w:rPr>
      </w:pPr>
      <w:r w:rsidRPr="00CD0DF7">
        <w:rPr>
          <w:sz w:val="20"/>
          <w:szCs w:val="20"/>
        </w:rPr>
        <w:t>UE should report its capability of supporting multiple UE Tx TEGs for UL TDOA to serving gNB.</w:t>
      </w:r>
    </w:p>
    <w:p w14:paraId="306DDC65" w14:textId="77777777" w:rsidR="00CD0DF7" w:rsidRPr="00CD0DF7" w:rsidRDefault="00CD0DF7" w:rsidP="00CD0DF7">
      <w:pPr>
        <w:pStyle w:val="ListParagraph"/>
        <w:numPr>
          <w:ilvl w:val="0"/>
          <w:numId w:val="13"/>
        </w:numPr>
        <w:tabs>
          <w:tab w:val="left" w:pos="360"/>
          <w:tab w:val="left" w:pos="720"/>
        </w:tabs>
        <w:rPr>
          <w:sz w:val="20"/>
          <w:szCs w:val="20"/>
        </w:rPr>
      </w:pPr>
      <w:r w:rsidRPr="00CD0DF7">
        <w:rPr>
          <w:sz w:val="20"/>
          <w:szCs w:val="20"/>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01ACE038" w14:textId="77777777" w:rsidR="00CD0DF7" w:rsidRPr="00CD0DF7" w:rsidRDefault="00CD0DF7" w:rsidP="00CD0DF7">
      <w:pPr>
        <w:pStyle w:val="ListParagraph"/>
        <w:numPr>
          <w:ilvl w:val="1"/>
          <w:numId w:val="13"/>
        </w:numPr>
        <w:tabs>
          <w:tab w:val="left" w:pos="360"/>
          <w:tab w:val="left" w:pos="720"/>
        </w:tabs>
        <w:rPr>
          <w:strike/>
          <w:color w:val="FF0000"/>
          <w:sz w:val="20"/>
          <w:szCs w:val="20"/>
        </w:rPr>
      </w:pPr>
      <w:r w:rsidRPr="00CD0DF7">
        <w:rPr>
          <w:strike/>
          <w:color w:val="FF0000"/>
          <w:sz w:val="20"/>
          <w:szCs w:val="20"/>
        </w:rPr>
        <w:t>FFS: whether to support the LMF to forward the association information to the serving and neighboring gNBs</w:t>
      </w:r>
    </w:p>
    <w:p w14:paraId="6022696E" w14:textId="77777777" w:rsidR="00CD0DF7" w:rsidRPr="00CD0DF7" w:rsidRDefault="00CD0DF7" w:rsidP="00CD0DF7">
      <w:pPr>
        <w:pStyle w:val="ListParagraph"/>
        <w:numPr>
          <w:ilvl w:val="1"/>
          <w:numId w:val="13"/>
        </w:numPr>
        <w:tabs>
          <w:tab w:val="left" w:pos="360"/>
          <w:tab w:val="left" w:pos="720"/>
        </w:tabs>
        <w:rPr>
          <w:sz w:val="20"/>
          <w:szCs w:val="20"/>
        </w:rPr>
      </w:pPr>
      <w:r w:rsidRPr="00CD0DF7">
        <w:rPr>
          <w:sz w:val="20"/>
          <w:szCs w:val="20"/>
        </w:rPr>
        <w:t>UE should report its capability of supporting multiple UE Tx TEGs for Multi-RTT directly to the LMF.</w:t>
      </w:r>
    </w:p>
    <w:p w14:paraId="23339DCC" w14:textId="77777777" w:rsidR="00CD0DF7" w:rsidRPr="00CD0DF7" w:rsidRDefault="00CD0DF7" w:rsidP="00CD0DF7">
      <w:pPr>
        <w:pStyle w:val="ListParagraph"/>
        <w:numPr>
          <w:ilvl w:val="0"/>
          <w:numId w:val="13"/>
        </w:numPr>
        <w:spacing w:line="256" w:lineRule="auto"/>
        <w:jc w:val="both"/>
        <w:rPr>
          <w:color w:val="FF0000"/>
          <w:sz w:val="20"/>
          <w:szCs w:val="20"/>
          <w:u w:val="single"/>
        </w:rPr>
      </w:pPr>
      <w:r w:rsidRPr="00CD0DF7">
        <w:rPr>
          <w:color w:val="FF0000"/>
          <w:sz w:val="20"/>
          <w:szCs w:val="20"/>
          <w:u w:val="single"/>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14:paraId="0E3956C1" w14:textId="77777777" w:rsidR="00CD0DF7" w:rsidRPr="00CD0DF7" w:rsidRDefault="00CD0DF7" w:rsidP="00CD0DF7">
      <w:pPr>
        <w:pStyle w:val="ListParagraph"/>
        <w:numPr>
          <w:ilvl w:val="1"/>
          <w:numId w:val="13"/>
        </w:numPr>
        <w:spacing w:line="256" w:lineRule="auto"/>
        <w:jc w:val="both"/>
        <w:rPr>
          <w:color w:val="FF0000"/>
          <w:sz w:val="20"/>
          <w:szCs w:val="20"/>
          <w:u w:val="single"/>
        </w:rPr>
      </w:pPr>
      <w:r w:rsidRPr="00CD0DF7">
        <w:rPr>
          <w:color w:val="FF0000"/>
          <w:sz w:val="20"/>
          <w:szCs w:val="20"/>
          <w:u w:val="single"/>
        </w:rPr>
        <w:t xml:space="preserve">to the serving gNB if a request to provide the association information is received from the gNB </w:t>
      </w:r>
    </w:p>
    <w:p w14:paraId="48C1F411" w14:textId="77777777" w:rsidR="00CD0DF7" w:rsidRPr="00CD0DF7" w:rsidRDefault="00CD0DF7" w:rsidP="00CD0DF7">
      <w:pPr>
        <w:pStyle w:val="ListParagraph"/>
        <w:numPr>
          <w:ilvl w:val="1"/>
          <w:numId w:val="13"/>
        </w:numPr>
        <w:spacing w:line="256" w:lineRule="auto"/>
        <w:jc w:val="both"/>
        <w:rPr>
          <w:color w:val="FF0000"/>
          <w:sz w:val="20"/>
          <w:szCs w:val="20"/>
          <w:u w:val="single"/>
        </w:rPr>
      </w:pPr>
      <w:r w:rsidRPr="00CD0DF7">
        <w:rPr>
          <w:color w:val="FF0000"/>
          <w:sz w:val="20"/>
          <w:szCs w:val="20"/>
          <w:u w:val="single"/>
        </w:rPr>
        <w:t xml:space="preserve">to the LMF if a request to provide the association information is received from the LMF. </w:t>
      </w:r>
    </w:p>
    <w:p w14:paraId="53BD14BB" w14:textId="77777777" w:rsidR="00CD0DF7" w:rsidRPr="00CD0DF7" w:rsidRDefault="00CD0DF7" w:rsidP="00CD0DF7">
      <w:pPr>
        <w:pStyle w:val="ListParagraph"/>
        <w:numPr>
          <w:ilvl w:val="0"/>
          <w:numId w:val="13"/>
        </w:numPr>
        <w:spacing w:line="256" w:lineRule="auto"/>
        <w:jc w:val="both"/>
        <w:rPr>
          <w:strike/>
          <w:color w:val="FF0000"/>
          <w:sz w:val="20"/>
          <w:szCs w:val="20"/>
          <w:lang w:eastAsia="x-none"/>
        </w:rPr>
      </w:pPr>
      <w:r w:rsidRPr="00CD0DF7">
        <w:rPr>
          <w:strike/>
          <w:color w:val="FF0000"/>
          <w:sz w:val="20"/>
          <w:szCs w:val="20"/>
        </w:rPr>
        <w:t>FFS: Mitigation of UE Tx timing errors when Multi-RTT, UL-TDOA and/or DL-TDOA are used.</w:t>
      </w:r>
    </w:p>
    <w:p w14:paraId="681B6CD6" w14:textId="119174A7" w:rsidR="00767C14" w:rsidRPr="00CD0DF7" w:rsidRDefault="00767C14" w:rsidP="00CD0DF7">
      <w:pPr>
        <w:tabs>
          <w:tab w:val="left" w:pos="720"/>
          <w:tab w:val="num" w:pos="2160"/>
        </w:tabs>
        <w:jc w:val="both"/>
        <w:rPr>
          <w:sz w:val="16"/>
          <w:szCs w:val="16"/>
          <w:lang w:val="en-US" w:eastAsia="ja-JP"/>
        </w:rPr>
      </w:pPr>
    </w:p>
    <w:p w14:paraId="4A58E3DE" w14:textId="57774A55" w:rsidR="00801846" w:rsidRDefault="00CD0DF7" w:rsidP="00D100B4">
      <w:pPr>
        <w:jc w:val="both"/>
        <w:rPr>
          <w:lang w:val="en-US" w:eastAsia="ja-JP"/>
        </w:rPr>
      </w:pPr>
      <w:r>
        <w:rPr>
          <w:lang w:val="en-US" w:eastAsia="ja-JP"/>
        </w:rPr>
        <w:t>One</w:t>
      </w:r>
      <w:r w:rsidR="00767C14">
        <w:rPr>
          <w:lang w:val="en-US" w:eastAsia="ja-JP"/>
        </w:rPr>
        <w:t xml:space="preserve"> FFS point </w:t>
      </w:r>
      <w:r w:rsidR="00801846">
        <w:rPr>
          <w:lang w:val="en-US" w:eastAsia="ja-JP"/>
        </w:rPr>
        <w:t xml:space="preserve">at the bottom </w:t>
      </w:r>
      <w:r w:rsidR="00767C14">
        <w:rPr>
          <w:lang w:val="en-US" w:eastAsia="ja-JP"/>
        </w:rPr>
        <w:t xml:space="preserve">of this </w:t>
      </w:r>
      <w:r>
        <w:rPr>
          <w:lang w:val="en-US" w:eastAsia="ja-JP"/>
        </w:rPr>
        <w:t>agreement was removed</w:t>
      </w:r>
      <w:r w:rsidR="00767C14">
        <w:rPr>
          <w:lang w:val="en-US" w:eastAsia="ja-JP"/>
        </w:rPr>
        <w:t xml:space="preserve"> </w:t>
      </w:r>
      <w:r>
        <w:rPr>
          <w:lang w:val="en-US" w:eastAsia="ja-JP"/>
        </w:rPr>
        <w:t xml:space="preserve">but it </w:t>
      </w:r>
      <w:r w:rsidR="00767C14">
        <w:rPr>
          <w:lang w:val="en-US" w:eastAsia="ja-JP"/>
        </w:rPr>
        <w:t xml:space="preserve">shows that there may be issues if the UE is configured for both multi-RTT and UL-TDOA. </w:t>
      </w:r>
      <w:r w:rsidR="00801846">
        <w:rPr>
          <w:lang w:val="en-US" w:eastAsia="ja-JP"/>
        </w:rPr>
        <w:t>So</w:t>
      </w:r>
      <w:r w:rsidR="00813F1C">
        <w:rPr>
          <w:lang w:val="en-US" w:eastAsia="ja-JP"/>
        </w:rPr>
        <w:t>,</w:t>
      </w:r>
      <w:r w:rsidR="00801846">
        <w:rPr>
          <w:lang w:val="en-US" w:eastAsia="ja-JP"/>
        </w:rPr>
        <w:t xml:space="preserve"> it is possible that the UE could be requested to report the Tx TEG association both directly to the LMF (using LPP) and to the gNB (using RRC). Especially as LPP is transparent to the gNB, it may occur that the gNB is asking for reporting associations that the UE is already sending to the LMF. </w:t>
      </w:r>
      <w:r>
        <w:rPr>
          <w:lang w:val="en-US" w:eastAsia="ja-JP"/>
        </w:rPr>
        <w:t xml:space="preserve">Another example of this problem is that the TRP may first be requested for RTOA measurements (and therefore the UE will report over RRC) however in the future the TRP may then be requested for both RTOA and gNB Rx-Tx measurements. Then the UE may be reporting over RRC and also over LPP. </w:t>
      </w:r>
      <w:r w:rsidR="00801846" w:rsidRPr="00801846">
        <w:rPr>
          <w:lang w:val="en-US" w:eastAsia="ja-JP"/>
        </w:rPr>
        <w:t>To avoid unnecessary overhead</w:t>
      </w:r>
      <w:r w:rsidR="00801846">
        <w:rPr>
          <w:lang w:val="en-US" w:eastAsia="ja-JP"/>
        </w:rPr>
        <w:t>,</w:t>
      </w:r>
      <w:r w:rsidR="00801846" w:rsidRPr="00801846">
        <w:rPr>
          <w:lang w:val="en-US" w:eastAsia="ja-JP"/>
        </w:rPr>
        <w:t xml:space="preserve"> we suggest </w:t>
      </w:r>
      <w:r w:rsidR="00813F1C" w:rsidRPr="00801846">
        <w:rPr>
          <w:lang w:val="en-US" w:eastAsia="ja-JP"/>
        </w:rPr>
        <w:t>allowing</w:t>
      </w:r>
      <w:r w:rsidR="00801846" w:rsidRPr="00801846">
        <w:rPr>
          <w:lang w:val="en-US" w:eastAsia="ja-JP"/>
        </w:rPr>
        <w:t xml:space="preserve"> the UE to respond to a request from gNB or LMF for the associations with an indication that the UE will report directly to LMF (if reply to gNB) or to gNB (if reply to LMF).</w:t>
      </w:r>
    </w:p>
    <w:p w14:paraId="29ACBBFC" w14:textId="3540D6FC" w:rsidR="0014758E" w:rsidRDefault="00801846" w:rsidP="00E40963">
      <w:pPr>
        <w:jc w:val="both"/>
        <w:rPr>
          <w:rFonts w:ascii="Times" w:eastAsia="Times" w:hAnsi="Times" w:cs="Times"/>
          <w:lang w:val="en-US"/>
        </w:rPr>
      </w:pPr>
      <w:r w:rsidRPr="00813F1C">
        <w:rPr>
          <w:b/>
          <w:bCs/>
          <w:lang w:val="en-US" w:eastAsia="ja-JP"/>
        </w:rPr>
        <w:t xml:space="preserve">Proposal </w:t>
      </w:r>
      <w:r w:rsidR="004B467F">
        <w:rPr>
          <w:b/>
          <w:bCs/>
          <w:lang w:val="en-US" w:eastAsia="ja-JP"/>
        </w:rPr>
        <w:t>3</w:t>
      </w:r>
      <w:r>
        <w:rPr>
          <w:lang w:val="en-US" w:eastAsia="ja-JP"/>
        </w:rPr>
        <w:t>: Allow UE to respond to a request for Tx TEG associations with an indication that it will report</w:t>
      </w:r>
      <w:r w:rsidR="00BA1D13">
        <w:rPr>
          <w:lang w:val="en-US" w:eastAsia="ja-JP"/>
        </w:rPr>
        <w:t>, or has already reported,</w:t>
      </w:r>
      <w:r>
        <w:rPr>
          <w:lang w:val="en-US" w:eastAsia="ja-JP"/>
        </w:rPr>
        <w:t xml:space="preserve"> </w:t>
      </w:r>
      <w:r w:rsidRPr="00801846">
        <w:rPr>
          <w:lang w:val="en-US" w:eastAsia="ja-JP"/>
        </w:rPr>
        <w:t>directly to LMF (if re</w:t>
      </w:r>
      <w:r>
        <w:rPr>
          <w:lang w:val="en-US" w:eastAsia="ja-JP"/>
        </w:rPr>
        <w:t>sponding</w:t>
      </w:r>
      <w:r w:rsidRPr="00801846">
        <w:rPr>
          <w:lang w:val="en-US" w:eastAsia="ja-JP"/>
        </w:rPr>
        <w:t xml:space="preserve"> to gNB) or to gNB (if </w:t>
      </w:r>
      <w:r>
        <w:rPr>
          <w:lang w:val="en-US" w:eastAsia="ja-JP"/>
        </w:rPr>
        <w:t>responding</w:t>
      </w:r>
      <w:r w:rsidRPr="00801846">
        <w:rPr>
          <w:lang w:val="en-US" w:eastAsia="ja-JP"/>
        </w:rPr>
        <w:t xml:space="preserve"> to LMF)</w:t>
      </w:r>
      <w:r>
        <w:rPr>
          <w:lang w:val="en-US" w:eastAsia="ja-JP"/>
        </w:rPr>
        <w:t xml:space="preserve">. </w:t>
      </w:r>
      <w:r w:rsidR="00C94997">
        <w:rPr>
          <w:rFonts w:ascii="Times" w:eastAsia="Times" w:hAnsi="Times" w:cs="Times"/>
          <w:lang w:val="en-US"/>
        </w:rPr>
        <w:t xml:space="preserve"> </w:t>
      </w:r>
    </w:p>
    <w:p w14:paraId="54DE7954" w14:textId="37957D47" w:rsidR="00050C83" w:rsidRDefault="00050C83" w:rsidP="00050C83">
      <w:pPr>
        <w:jc w:val="both"/>
        <w:rPr>
          <w:rFonts w:ascii="Times" w:eastAsia="Times" w:hAnsi="Times" w:cs="Times"/>
          <w:lang w:val="en-US"/>
        </w:rPr>
      </w:pPr>
      <w:r w:rsidRPr="05F75CE1">
        <w:rPr>
          <w:rFonts w:ascii="Times" w:eastAsia="Times" w:hAnsi="Times" w:cs="Times"/>
          <w:lang w:val="en-US"/>
        </w:rPr>
        <w:t>Throughout RAN1 Rel-17 WI phase, we mainly discussed how to associate between TEGs and UL/DL reference signals or between different TEGs, and it was assumed that timing error mitigation operation considering TEG information might be done by LMF. Now it is necessary to consider there may be a possibility on mitigation operation from device</w:t>
      </w:r>
      <w:r w:rsidR="00784FE7" w:rsidRPr="05F75CE1">
        <w:rPr>
          <w:rFonts w:ascii="Times" w:eastAsia="Times" w:hAnsi="Times" w:cs="Times"/>
          <w:lang w:val="en-US"/>
        </w:rPr>
        <w:t xml:space="preserve"> side</w:t>
      </w:r>
      <w:r w:rsidRPr="05F75CE1">
        <w:rPr>
          <w:rFonts w:ascii="Times" w:eastAsia="Times" w:hAnsi="Times" w:cs="Times"/>
          <w:lang w:val="en-US"/>
        </w:rPr>
        <w:t xml:space="preserve">. For example, there was a view that the UE may be able to do self-calibration with </w:t>
      </w:r>
      <w:r w:rsidR="00D06F23" w:rsidRPr="05F75CE1">
        <w:rPr>
          <w:rFonts w:ascii="Times" w:eastAsia="Times" w:hAnsi="Times" w:cs="Times"/>
          <w:lang w:val="en-US"/>
        </w:rPr>
        <w:t xml:space="preserve">a </w:t>
      </w:r>
      <w:r w:rsidRPr="05F75CE1">
        <w:rPr>
          <w:rFonts w:ascii="Times" w:eastAsia="Times" w:hAnsi="Times" w:cs="Times"/>
          <w:lang w:val="en-US"/>
        </w:rPr>
        <w:t>knowledge on sum of the reception and transmission group delay. In addition, the UE may be provided with association information of TRP TX TEGs and PRS resources from LMF for UE-base</w:t>
      </w:r>
      <w:r w:rsidR="007E3C4D" w:rsidRPr="05F75CE1">
        <w:rPr>
          <w:rFonts w:ascii="Times" w:eastAsia="Times" w:hAnsi="Times" w:cs="Times"/>
          <w:lang w:val="en-US"/>
        </w:rPr>
        <w:t>d</w:t>
      </w:r>
      <w:r w:rsidRPr="05F75CE1">
        <w:rPr>
          <w:rFonts w:ascii="Times" w:eastAsia="Times" w:hAnsi="Times" w:cs="Times"/>
          <w:lang w:val="en-US"/>
        </w:rPr>
        <w:t xml:space="preserve"> positioning. In consideration of a static UE, </w:t>
      </w:r>
      <w:r w:rsidR="00584D6D" w:rsidRPr="05F75CE1">
        <w:rPr>
          <w:rFonts w:ascii="Times" w:eastAsia="Times" w:hAnsi="Times" w:cs="Times"/>
          <w:lang w:val="en-US"/>
        </w:rPr>
        <w:t>the UE</w:t>
      </w:r>
      <w:r w:rsidRPr="05F75CE1">
        <w:rPr>
          <w:rFonts w:ascii="Times" w:eastAsia="Times" w:hAnsi="Times" w:cs="Times"/>
          <w:lang w:val="en-US"/>
        </w:rPr>
        <w:t xml:space="preserve"> would be able to know its own location quite accurately by </w:t>
      </w:r>
      <w:r w:rsidR="00A93315" w:rsidRPr="05F75CE1">
        <w:rPr>
          <w:rFonts w:ascii="Times" w:eastAsia="Times" w:hAnsi="Times" w:cs="Times"/>
          <w:lang w:val="en-US"/>
        </w:rPr>
        <w:t>RAT-dependent</w:t>
      </w:r>
      <w:r w:rsidRPr="05F75CE1">
        <w:rPr>
          <w:rFonts w:ascii="Times" w:eastAsia="Times" w:hAnsi="Times" w:cs="Times"/>
          <w:lang w:val="en-US"/>
        </w:rPr>
        <w:t xml:space="preserve"> and/or RAT-independent positioning </w:t>
      </w:r>
      <w:r w:rsidR="004042CD" w:rsidRPr="05F75CE1">
        <w:rPr>
          <w:rFonts w:ascii="Times" w:eastAsia="Times" w:hAnsi="Times" w:cs="Times"/>
          <w:lang w:val="en-US"/>
        </w:rPr>
        <w:t>technique</w:t>
      </w:r>
      <w:r w:rsidRPr="05F75CE1">
        <w:rPr>
          <w:rFonts w:ascii="Times" w:eastAsia="Times" w:hAnsi="Times" w:cs="Times"/>
          <w:lang w:val="en-US"/>
        </w:rPr>
        <w:t>. Then the UE may have a chance to estimate timing error</w:t>
      </w:r>
      <w:r w:rsidR="00BB0B74" w:rsidRPr="05F75CE1">
        <w:rPr>
          <w:rFonts w:ascii="Times" w:eastAsia="Times" w:hAnsi="Times" w:cs="Times"/>
          <w:lang w:val="en-US"/>
        </w:rPr>
        <w:t>s</w:t>
      </w:r>
      <w:r w:rsidRPr="05F75CE1">
        <w:rPr>
          <w:rFonts w:ascii="Times" w:eastAsia="Times" w:hAnsi="Times" w:cs="Times"/>
          <w:lang w:val="en-US"/>
        </w:rPr>
        <w:t xml:space="preserve"> for TRP Tx TEGs, and the UE can consider error compensation for measurement reporting. However, in our view, the UE may perform calibration behavior if it can, and it may not be always guaranteed. If the UE calibrates an error for a specific TEG, the LMF shouldn't do it</w:t>
      </w:r>
      <w:r w:rsidR="00275016" w:rsidRPr="05F75CE1">
        <w:rPr>
          <w:rFonts w:ascii="Times" w:eastAsia="Times" w:hAnsi="Times" w:cs="Times"/>
          <w:lang w:val="en-US"/>
        </w:rPr>
        <w:t xml:space="preserve"> to avoid double calibration</w:t>
      </w:r>
      <w:r w:rsidR="007E3C4D" w:rsidRPr="05F75CE1">
        <w:rPr>
          <w:rFonts w:ascii="Times" w:eastAsia="Times" w:hAnsi="Times" w:cs="Times"/>
          <w:lang w:val="en-US"/>
        </w:rPr>
        <w:t xml:space="preserve"> or wrong differential operations</w:t>
      </w:r>
      <w:r w:rsidRPr="05F75CE1">
        <w:rPr>
          <w:rFonts w:ascii="Times" w:eastAsia="Times" w:hAnsi="Times" w:cs="Times"/>
          <w:lang w:val="en-US"/>
        </w:rPr>
        <w:t>.</w:t>
      </w:r>
      <w:r w:rsidR="00974985" w:rsidRPr="05F75CE1">
        <w:rPr>
          <w:rFonts w:ascii="Times" w:eastAsia="Times" w:hAnsi="Times" w:cs="Times"/>
          <w:lang w:val="en-US"/>
        </w:rPr>
        <w:t xml:space="preserve"> RAN1 needs to consider</w:t>
      </w:r>
      <w:r w:rsidR="002F1987" w:rsidRPr="05F75CE1">
        <w:rPr>
          <w:rFonts w:ascii="Times" w:eastAsia="Times" w:hAnsi="Times" w:cs="Times"/>
          <w:lang w:val="en-US"/>
        </w:rPr>
        <w:t xml:space="preserve"> allowing the UE </w:t>
      </w:r>
      <w:r w:rsidRPr="05F75CE1">
        <w:rPr>
          <w:rFonts w:ascii="Times" w:eastAsia="Times" w:hAnsi="Times" w:cs="Times"/>
          <w:lang w:val="en-US"/>
        </w:rPr>
        <w:t>to inform LMF if the UE has calibrated measurement</w:t>
      </w:r>
      <w:r w:rsidR="00CD3D28" w:rsidRPr="05F75CE1">
        <w:rPr>
          <w:rFonts w:ascii="Times" w:eastAsia="Times" w:hAnsi="Times" w:cs="Times"/>
          <w:lang w:val="en-US"/>
        </w:rPr>
        <w:t xml:space="preserve"> for a specific TEG</w:t>
      </w:r>
      <w:r w:rsidRPr="05F75CE1">
        <w:rPr>
          <w:rFonts w:ascii="Times" w:eastAsia="Times" w:hAnsi="Times" w:cs="Times"/>
          <w:lang w:val="en-US"/>
        </w:rPr>
        <w:t xml:space="preserve"> when </w:t>
      </w:r>
      <w:r w:rsidR="002F1987" w:rsidRPr="05F75CE1">
        <w:rPr>
          <w:rFonts w:ascii="Times" w:eastAsia="Times" w:hAnsi="Times" w:cs="Times"/>
          <w:lang w:val="en-US"/>
        </w:rPr>
        <w:t>it</w:t>
      </w:r>
      <w:r w:rsidRPr="05F75CE1">
        <w:rPr>
          <w:rFonts w:ascii="Times" w:eastAsia="Times" w:hAnsi="Times" w:cs="Times"/>
          <w:lang w:val="en-US"/>
        </w:rPr>
        <w:t xml:space="preserve"> report</w:t>
      </w:r>
      <w:r w:rsidR="002F1987" w:rsidRPr="05F75CE1">
        <w:rPr>
          <w:rFonts w:ascii="Times" w:eastAsia="Times" w:hAnsi="Times" w:cs="Times"/>
          <w:lang w:val="en-US"/>
        </w:rPr>
        <w:t>s positioning measurement</w:t>
      </w:r>
      <w:r w:rsidRPr="05F75CE1">
        <w:rPr>
          <w:rFonts w:ascii="Times" w:eastAsia="Times" w:hAnsi="Times" w:cs="Times"/>
          <w:lang w:val="en-US"/>
        </w:rPr>
        <w:t>.</w:t>
      </w:r>
    </w:p>
    <w:p w14:paraId="736801D3" w14:textId="55BE8D23" w:rsidR="00CD0DF7" w:rsidRDefault="00050C83" w:rsidP="00E40963">
      <w:pPr>
        <w:jc w:val="both"/>
        <w:rPr>
          <w:rFonts w:ascii="Times" w:eastAsia="Times" w:hAnsi="Times" w:cs="Times"/>
          <w:lang w:val="en-US"/>
        </w:rPr>
      </w:pPr>
      <w:r w:rsidRPr="00813F1C">
        <w:rPr>
          <w:b/>
          <w:bCs/>
          <w:lang w:val="en-US" w:eastAsia="ja-JP"/>
        </w:rPr>
        <w:t xml:space="preserve">Proposal </w:t>
      </w:r>
      <w:r w:rsidR="004B467F">
        <w:rPr>
          <w:b/>
          <w:bCs/>
          <w:lang w:val="en-US" w:eastAsia="ja-JP"/>
        </w:rPr>
        <w:t>4</w:t>
      </w:r>
      <w:r>
        <w:rPr>
          <w:lang w:val="en-US" w:eastAsia="ja-JP"/>
        </w:rPr>
        <w:t xml:space="preserve">: </w:t>
      </w:r>
      <w:r w:rsidRPr="00223275">
        <w:rPr>
          <w:lang w:val="en-US" w:eastAsia="ja-JP"/>
        </w:rPr>
        <w:t>Allow UE to report an indicator to LMF to inform if a positioning measurement has been calibrated for a specific TEG.</w:t>
      </w:r>
    </w:p>
    <w:p w14:paraId="10445A01" w14:textId="3EC805CE" w:rsidR="00885580" w:rsidRPr="003D3F36" w:rsidRDefault="578D3714" w:rsidP="00885580">
      <w:pPr>
        <w:pStyle w:val="Heading1"/>
        <w:rPr>
          <w:color w:val="000000" w:themeColor="text1"/>
          <w:lang w:val="en-US"/>
        </w:rPr>
      </w:pPr>
      <w:r w:rsidRPr="373FE3F4">
        <w:rPr>
          <w:color w:val="000000" w:themeColor="text1"/>
          <w:lang w:val="en-US"/>
        </w:rPr>
        <w:t>Conclusion</w:t>
      </w:r>
    </w:p>
    <w:p w14:paraId="3333F6BE" w14:textId="580E5AA1" w:rsidR="004B467F" w:rsidRDefault="004B467F" w:rsidP="004B467F">
      <w:pPr>
        <w:jc w:val="both"/>
        <w:rPr>
          <w:lang w:val="en-US" w:eastAsia="ja-JP"/>
        </w:rPr>
      </w:pPr>
      <w:r w:rsidRPr="00D530C0">
        <w:rPr>
          <w:lang w:val="en-US" w:eastAsia="ja-JP"/>
        </w:rPr>
        <w:t>We ma</w:t>
      </w:r>
      <w:r>
        <w:rPr>
          <w:lang w:val="en-US" w:eastAsia="ja-JP"/>
        </w:rPr>
        <w:t>d</w:t>
      </w:r>
      <w:r w:rsidRPr="00D530C0">
        <w:rPr>
          <w:lang w:val="en-US" w:eastAsia="ja-JP"/>
        </w:rPr>
        <w:t>e the following proposals in this paper:</w:t>
      </w:r>
    </w:p>
    <w:p w14:paraId="57E2D940" w14:textId="77777777" w:rsidR="004B467F" w:rsidRDefault="004B467F" w:rsidP="004B467F">
      <w:pPr>
        <w:rPr>
          <w:lang w:val="en-US" w:eastAsia="ja-JP"/>
        </w:rPr>
      </w:pPr>
      <w:r w:rsidRPr="00E40963">
        <w:rPr>
          <w:b/>
          <w:bCs/>
          <w:lang w:val="en-US" w:eastAsia="ja-JP"/>
        </w:rPr>
        <w:t xml:space="preserve">Proposal </w:t>
      </w:r>
      <w:r>
        <w:rPr>
          <w:b/>
          <w:bCs/>
          <w:lang w:val="en-US" w:eastAsia="ja-JP"/>
        </w:rPr>
        <w:t>1</w:t>
      </w:r>
      <w:r>
        <w:rPr>
          <w:lang w:val="en-US" w:eastAsia="ja-JP"/>
        </w:rPr>
        <w:t xml:space="preserve">: Prioritize UE-assisted PRU in Rel-17 and send an LS to RAN2 informing them of this decision. </w:t>
      </w:r>
    </w:p>
    <w:p w14:paraId="2DD51E26" w14:textId="14AA94DE" w:rsidR="004B467F" w:rsidRDefault="004B467F" w:rsidP="004B467F">
      <w:pPr>
        <w:jc w:val="both"/>
        <w:rPr>
          <w:lang w:val="en-US" w:eastAsia="ja-JP"/>
        </w:rPr>
      </w:pPr>
      <w:r w:rsidRPr="00CD0DF7">
        <w:rPr>
          <w:b/>
          <w:bCs/>
          <w:lang w:val="en-US" w:eastAsia="ja-JP"/>
        </w:rPr>
        <w:t xml:space="preserve">Proposal </w:t>
      </w:r>
      <w:r>
        <w:rPr>
          <w:b/>
          <w:bCs/>
          <w:lang w:val="en-US" w:eastAsia="ja-JP"/>
        </w:rPr>
        <w:t>2</w:t>
      </w:r>
      <w:r>
        <w:rPr>
          <w:lang w:val="en-US" w:eastAsia="ja-JP"/>
        </w:rPr>
        <w:t>: Include in the reply LS to RAN2 that the PRU antenna orientation is the 3D angle in the global coordinate system at which the PRU antenna is location.</w:t>
      </w:r>
    </w:p>
    <w:p w14:paraId="6F1DC14B" w14:textId="3CEB6C88" w:rsidR="004B467F" w:rsidRDefault="004B467F" w:rsidP="004B467F">
      <w:pPr>
        <w:jc w:val="both"/>
        <w:rPr>
          <w:lang w:val="en-US" w:eastAsia="ja-JP"/>
        </w:rPr>
      </w:pPr>
      <w:r w:rsidRPr="00813F1C">
        <w:rPr>
          <w:b/>
          <w:bCs/>
          <w:lang w:val="en-US" w:eastAsia="ja-JP"/>
        </w:rPr>
        <w:lastRenderedPageBreak/>
        <w:t xml:space="preserve">Proposal </w:t>
      </w:r>
      <w:r>
        <w:rPr>
          <w:b/>
          <w:bCs/>
          <w:lang w:val="en-US" w:eastAsia="ja-JP"/>
        </w:rPr>
        <w:t>3</w:t>
      </w:r>
      <w:r>
        <w:rPr>
          <w:lang w:val="en-US" w:eastAsia="ja-JP"/>
        </w:rPr>
        <w:t xml:space="preserve">: Allow UE to respond to a request for Tx TEG associations with an indication that it will report, or has already reported, </w:t>
      </w:r>
      <w:r w:rsidRPr="00801846">
        <w:rPr>
          <w:lang w:val="en-US" w:eastAsia="ja-JP"/>
        </w:rPr>
        <w:t>directly to LMF (if re</w:t>
      </w:r>
      <w:r>
        <w:rPr>
          <w:lang w:val="en-US" w:eastAsia="ja-JP"/>
        </w:rPr>
        <w:t>sponding</w:t>
      </w:r>
      <w:r w:rsidRPr="00801846">
        <w:rPr>
          <w:lang w:val="en-US" w:eastAsia="ja-JP"/>
        </w:rPr>
        <w:t xml:space="preserve"> to gNB) or to gNB (if </w:t>
      </w:r>
      <w:r>
        <w:rPr>
          <w:lang w:val="en-US" w:eastAsia="ja-JP"/>
        </w:rPr>
        <w:t>responding</w:t>
      </w:r>
      <w:r w:rsidRPr="00801846">
        <w:rPr>
          <w:lang w:val="en-US" w:eastAsia="ja-JP"/>
        </w:rPr>
        <w:t xml:space="preserve"> to LMF)</w:t>
      </w:r>
      <w:r>
        <w:rPr>
          <w:lang w:val="en-US" w:eastAsia="ja-JP"/>
        </w:rPr>
        <w:t>.</w:t>
      </w:r>
    </w:p>
    <w:p w14:paraId="2EAF6617" w14:textId="1E6D0966" w:rsidR="004B467F" w:rsidRPr="00D530C0" w:rsidRDefault="004B467F" w:rsidP="004B467F">
      <w:pPr>
        <w:jc w:val="both"/>
        <w:rPr>
          <w:lang w:val="en-US" w:eastAsia="ja-JP"/>
        </w:rPr>
      </w:pPr>
      <w:r w:rsidRPr="00813F1C">
        <w:rPr>
          <w:b/>
          <w:bCs/>
          <w:lang w:val="en-US" w:eastAsia="ja-JP"/>
        </w:rPr>
        <w:t xml:space="preserve">Proposal </w:t>
      </w:r>
      <w:r>
        <w:rPr>
          <w:b/>
          <w:bCs/>
          <w:lang w:val="en-US" w:eastAsia="ja-JP"/>
        </w:rPr>
        <w:t>4</w:t>
      </w:r>
      <w:r>
        <w:rPr>
          <w:lang w:val="en-US" w:eastAsia="ja-JP"/>
        </w:rPr>
        <w:t xml:space="preserve">: </w:t>
      </w:r>
      <w:r w:rsidRPr="00223275">
        <w:rPr>
          <w:lang w:val="en-US" w:eastAsia="ja-JP"/>
        </w:rPr>
        <w:t>Allow UE to report an indicator to LMF to inform if a positioning measurement has been calibrated for a specific TEG.</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106E8BE4"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RP-2</w:t>
      </w:r>
      <w:r w:rsidR="00891D6D">
        <w:rPr>
          <w:color w:val="000000" w:themeColor="text1"/>
          <w:lang w:val="en-US"/>
        </w:rPr>
        <w:t>1</w:t>
      </w:r>
      <w:r w:rsidR="00731B98">
        <w:rPr>
          <w:color w:val="000000" w:themeColor="text1"/>
          <w:lang w:val="en-US"/>
        </w:rPr>
        <w:t>0903</w:t>
      </w:r>
      <w:r w:rsidRPr="00B238E0">
        <w:rPr>
          <w:color w:val="000000" w:themeColor="text1"/>
          <w:lang w:val="en-US"/>
        </w:rPr>
        <w:t xml:space="preserve">, </w:t>
      </w:r>
      <w:r w:rsidR="003E4B20" w:rsidRPr="00D530C0">
        <w:rPr>
          <w:color w:val="000000" w:themeColor="text1"/>
          <w:lang w:val="en-US"/>
        </w:rPr>
        <w:t xml:space="preserve">Revised </w:t>
      </w:r>
      <w:r w:rsidR="007A071E" w:rsidRPr="00D530C0">
        <w:rPr>
          <w:color w:val="000000" w:themeColor="text1"/>
          <w:lang w:val="en-US"/>
        </w:rPr>
        <w:t>W</w:t>
      </w:r>
      <w:r w:rsidRPr="00D530C0">
        <w:rPr>
          <w:color w:val="000000" w:themeColor="text1"/>
          <w:lang w:val="en-US"/>
        </w:rPr>
        <w:t>ID</w:t>
      </w:r>
      <w:r w:rsidRPr="003E4B20">
        <w:rPr>
          <w:color w:val="000000" w:themeColor="text1"/>
          <w:lang w:val="en-US"/>
        </w:rPr>
        <w:t xml:space="preserve"> on</w:t>
      </w:r>
      <w:r w:rsidRPr="00B238E0">
        <w:rPr>
          <w:color w:val="000000" w:themeColor="text1"/>
          <w:lang w:val="en-US"/>
        </w:rPr>
        <w:t xml:space="preserve">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0322519B" w14:textId="2D8C9FA0" w:rsidR="00A500BE" w:rsidRPr="004E56C4" w:rsidRDefault="00A500BE" w:rsidP="00A500BE">
      <w:pPr>
        <w:spacing w:line="259" w:lineRule="auto"/>
        <w:rPr>
          <w:color w:val="000000" w:themeColor="text1"/>
          <w:lang w:val="en-US"/>
        </w:rPr>
      </w:pPr>
      <w:r w:rsidRPr="00B238E0">
        <w:rPr>
          <w:color w:val="000000" w:themeColor="text1"/>
          <w:lang w:val="en-US"/>
        </w:rPr>
        <w:t xml:space="preserve">[2]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201637</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w:t>
      </w:r>
      <w:r>
        <w:rPr>
          <w:color w:val="000000" w:themeColor="text1"/>
          <w:lang w:val="en-US"/>
        </w:rPr>
        <w:t>PHY Latency Reductions</w:t>
      </w:r>
      <w:r w:rsidRPr="004E56C4">
        <w:rPr>
          <w:color w:val="000000" w:themeColor="text1"/>
          <w:lang w:val="en-US"/>
        </w:rPr>
        <w:t>, Nokia, Nokia Shanghai Bell.</w:t>
      </w:r>
    </w:p>
    <w:p w14:paraId="56A15384" w14:textId="77777777" w:rsidR="00A500BE" w:rsidRPr="004E56C4" w:rsidRDefault="00A500BE" w:rsidP="00A500BE">
      <w:pPr>
        <w:spacing w:line="259" w:lineRule="auto"/>
        <w:rPr>
          <w:color w:val="000000" w:themeColor="text1"/>
          <w:lang w:val="en-US"/>
        </w:rPr>
      </w:pPr>
      <w:r w:rsidRPr="004E56C4">
        <w:rPr>
          <w:color w:val="000000" w:themeColor="text1"/>
          <w:lang w:val="en-US"/>
        </w:rPr>
        <w:t xml:space="preserve">[3]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201635</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enhancing UL AoA, Nokia, Nokia Shanghai Bell.  </w:t>
      </w:r>
    </w:p>
    <w:p w14:paraId="060DCF3E" w14:textId="77777777" w:rsidR="00A500BE" w:rsidRPr="004E56C4" w:rsidRDefault="00A500BE" w:rsidP="00A500BE">
      <w:pPr>
        <w:spacing w:line="259" w:lineRule="auto"/>
        <w:rPr>
          <w:color w:val="000000" w:themeColor="text1"/>
          <w:lang w:val="en-US"/>
        </w:rPr>
      </w:pPr>
      <w:r w:rsidRPr="004E56C4">
        <w:rPr>
          <w:color w:val="000000" w:themeColor="text1"/>
          <w:lang w:val="en-US"/>
        </w:rPr>
        <w:t xml:space="preserve">[4]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201636</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enhancing DL AoD, Nokia, Nokia Shanghai Bell.  </w:t>
      </w:r>
    </w:p>
    <w:p w14:paraId="5AD4314C" w14:textId="77777777" w:rsidR="00A500BE" w:rsidRPr="004E56C4" w:rsidRDefault="00A500BE" w:rsidP="00A500BE">
      <w:pPr>
        <w:spacing w:line="259" w:lineRule="auto"/>
        <w:rPr>
          <w:color w:val="000000" w:themeColor="text1"/>
          <w:lang w:val="en-US"/>
        </w:rPr>
      </w:pPr>
      <w:r w:rsidRPr="004E56C4">
        <w:rPr>
          <w:color w:val="000000" w:themeColor="text1"/>
          <w:lang w:val="en-US"/>
        </w:rPr>
        <w:t xml:space="preserve">[5]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201638</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LoS/NLoS Identification and Mitigation, Nokia, Nokia Shanghai Bell.  </w:t>
      </w:r>
    </w:p>
    <w:p w14:paraId="2427A10A" w14:textId="1B7C7D13" w:rsidR="008C3741" w:rsidRDefault="00A500BE" w:rsidP="008C3741">
      <w:pPr>
        <w:spacing w:line="259" w:lineRule="auto"/>
        <w:rPr>
          <w:color w:val="000000" w:themeColor="text1"/>
          <w:lang w:val="en-US"/>
        </w:rPr>
      </w:pPr>
      <w:r w:rsidRPr="004E56C4">
        <w:rPr>
          <w:color w:val="000000" w:themeColor="text1"/>
          <w:lang w:val="en-US"/>
        </w:rPr>
        <w:t xml:space="preserve">[6]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201639</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Inactive</w:t>
      </w:r>
      <w:r w:rsidRPr="0061111C">
        <w:rPr>
          <w:color w:val="000000" w:themeColor="text1"/>
          <w:lang w:val="en-US"/>
        </w:rPr>
        <w:t xml:space="preser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r w:rsidR="008C3741" w:rsidRPr="00B238E0">
        <w:rPr>
          <w:color w:val="000000" w:themeColor="text1"/>
          <w:lang w:val="en-US"/>
        </w:rPr>
        <w:t xml:space="preserve">  </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0B4D6" w14:textId="77777777" w:rsidR="00B44D06" w:rsidRDefault="00B44D06">
      <w:r>
        <w:separator/>
      </w:r>
    </w:p>
  </w:endnote>
  <w:endnote w:type="continuationSeparator" w:id="0">
    <w:p w14:paraId="373DDF02" w14:textId="77777777" w:rsidR="00B44D06" w:rsidRDefault="00B44D06">
      <w:r>
        <w:continuationSeparator/>
      </w:r>
    </w:p>
  </w:endnote>
  <w:endnote w:type="continuationNotice" w:id="1">
    <w:p w14:paraId="519EE785" w14:textId="77777777" w:rsidR="00B44D06" w:rsidRDefault="00B44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00B44D06" w14:paraId="3BF1EB3F" w14:textId="77777777" w:rsidTr="00300019">
      <w:tc>
        <w:tcPr>
          <w:tcW w:w="3210" w:type="dxa"/>
        </w:tcPr>
        <w:p w14:paraId="1EDF3F76" w14:textId="04251610" w:rsidR="00B44D06" w:rsidRDefault="00B44D06" w:rsidP="00300019">
          <w:pPr>
            <w:ind w:left="-115"/>
          </w:pPr>
        </w:p>
      </w:tc>
      <w:tc>
        <w:tcPr>
          <w:tcW w:w="3210" w:type="dxa"/>
        </w:tcPr>
        <w:p w14:paraId="4B19D136" w14:textId="5D848285" w:rsidR="00B44D06" w:rsidRDefault="00B44D06" w:rsidP="00300019">
          <w:pPr>
            <w:jc w:val="center"/>
          </w:pPr>
        </w:p>
      </w:tc>
      <w:tc>
        <w:tcPr>
          <w:tcW w:w="3210" w:type="dxa"/>
        </w:tcPr>
        <w:p w14:paraId="44A7BA16" w14:textId="7B3DAA58" w:rsidR="00B44D06" w:rsidRDefault="00B44D06" w:rsidP="00300019">
          <w:pPr>
            <w:ind w:right="-115"/>
            <w:jc w:val="right"/>
          </w:pPr>
        </w:p>
      </w:tc>
    </w:tr>
  </w:tbl>
  <w:p w14:paraId="1D9A6A91" w14:textId="1CBBC760" w:rsidR="00B44D06" w:rsidRDefault="00B44D06" w:rsidP="00300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74472" w14:textId="77777777" w:rsidR="00B44D06" w:rsidRDefault="00B44D06">
      <w:r>
        <w:separator/>
      </w:r>
    </w:p>
  </w:footnote>
  <w:footnote w:type="continuationSeparator" w:id="0">
    <w:p w14:paraId="26ED936C" w14:textId="77777777" w:rsidR="00B44D06" w:rsidRDefault="00B44D06">
      <w:r>
        <w:continuationSeparator/>
      </w:r>
    </w:p>
  </w:footnote>
  <w:footnote w:type="continuationNotice" w:id="1">
    <w:p w14:paraId="6401DD1A" w14:textId="77777777" w:rsidR="00B44D06" w:rsidRDefault="00B44D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00B44D06" w14:paraId="37370D39" w14:textId="77777777" w:rsidTr="00300019">
      <w:tc>
        <w:tcPr>
          <w:tcW w:w="3210" w:type="dxa"/>
        </w:tcPr>
        <w:p w14:paraId="69E2FCC3" w14:textId="0DD5A3A6" w:rsidR="00B44D06" w:rsidRDefault="00B44D06" w:rsidP="00300019">
          <w:pPr>
            <w:ind w:left="-115"/>
          </w:pPr>
        </w:p>
      </w:tc>
      <w:tc>
        <w:tcPr>
          <w:tcW w:w="3210" w:type="dxa"/>
        </w:tcPr>
        <w:p w14:paraId="35B157E9" w14:textId="18973DC3" w:rsidR="00B44D06" w:rsidRDefault="00B44D06" w:rsidP="00300019">
          <w:pPr>
            <w:jc w:val="center"/>
          </w:pPr>
        </w:p>
      </w:tc>
      <w:tc>
        <w:tcPr>
          <w:tcW w:w="3210" w:type="dxa"/>
        </w:tcPr>
        <w:p w14:paraId="44999A4A" w14:textId="34340313" w:rsidR="00B44D06" w:rsidRDefault="00B44D06" w:rsidP="00300019">
          <w:pPr>
            <w:ind w:right="-115"/>
            <w:jc w:val="right"/>
          </w:pPr>
        </w:p>
      </w:tc>
    </w:tr>
  </w:tbl>
  <w:p w14:paraId="5FB1F329" w14:textId="3A8DE734" w:rsidR="00B44D06" w:rsidRDefault="00B44D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3651EC"/>
    <w:multiLevelType w:val="hybridMultilevel"/>
    <w:tmpl w:val="870EC4C6"/>
    <w:lvl w:ilvl="0" w:tplc="7226BA6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97E7D"/>
    <w:multiLevelType w:val="hybridMultilevel"/>
    <w:tmpl w:val="89B695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31613F"/>
    <w:multiLevelType w:val="hybridMultilevel"/>
    <w:tmpl w:val="F2E027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5A9201F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7893896"/>
    <w:multiLevelType w:val="hybridMultilevel"/>
    <w:tmpl w:val="283E53FA"/>
    <w:lvl w:ilvl="0" w:tplc="0C8A65C6">
      <w:start w:val="1"/>
      <w:numFmt w:val="bullet"/>
      <w:lvlText w:val=""/>
      <w:lvlJc w:val="left"/>
      <w:pPr>
        <w:tabs>
          <w:tab w:val="num" w:pos="720"/>
        </w:tabs>
        <w:ind w:left="720" w:hanging="360"/>
      </w:pPr>
      <w:rPr>
        <w:rFonts w:ascii="Symbol" w:hAnsi="Symbol" w:hint="default"/>
      </w:rPr>
    </w:lvl>
    <w:lvl w:ilvl="1" w:tplc="DE3A0AE4" w:tentative="1">
      <w:start w:val="1"/>
      <w:numFmt w:val="bullet"/>
      <w:lvlText w:val=""/>
      <w:lvlJc w:val="left"/>
      <w:pPr>
        <w:tabs>
          <w:tab w:val="num" w:pos="1440"/>
        </w:tabs>
        <w:ind w:left="1440" w:hanging="360"/>
      </w:pPr>
      <w:rPr>
        <w:rFonts w:ascii="Symbol" w:hAnsi="Symbol" w:hint="default"/>
      </w:rPr>
    </w:lvl>
    <w:lvl w:ilvl="2" w:tplc="1C3C6F64" w:tentative="1">
      <w:start w:val="1"/>
      <w:numFmt w:val="bullet"/>
      <w:lvlText w:val=""/>
      <w:lvlJc w:val="left"/>
      <w:pPr>
        <w:tabs>
          <w:tab w:val="num" w:pos="2160"/>
        </w:tabs>
        <w:ind w:left="2160" w:hanging="360"/>
      </w:pPr>
      <w:rPr>
        <w:rFonts w:ascii="Symbol" w:hAnsi="Symbol" w:hint="default"/>
      </w:rPr>
    </w:lvl>
    <w:lvl w:ilvl="3" w:tplc="C0260932" w:tentative="1">
      <w:start w:val="1"/>
      <w:numFmt w:val="bullet"/>
      <w:lvlText w:val=""/>
      <w:lvlJc w:val="left"/>
      <w:pPr>
        <w:tabs>
          <w:tab w:val="num" w:pos="2880"/>
        </w:tabs>
        <w:ind w:left="2880" w:hanging="360"/>
      </w:pPr>
      <w:rPr>
        <w:rFonts w:ascii="Symbol" w:hAnsi="Symbol" w:hint="default"/>
      </w:rPr>
    </w:lvl>
    <w:lvl w:ilvl="4" w:tplc="26CAA140" w:tentative="1">
      <w:start w:val="1"/>
      <w:numFmt w:val="bullet"/>
      <w:lvlText w:val=""/>
      <w:lvlJc w:val="left"/>
      <w:pPr>
        <w:tabs>
          <w:tab w:val="num" w:pos="3600"/>
        </w:tabs>
        <w:ind w:left="3600" w:hanging="360"/>
      </w:pPr>
      <w:rPr>
        <w:rFonts w:ascii="Symbol" w:hAnsi="Symbol" w:hint="default"/>
      </w:rPr>
    </w:lvl>
    <w:lvl w:ilvl="5" w:tplc="84F29B26" w:tentative="1">
      <w:start w:val="1"/>
      <w:numFmt w:val="bullet"/>
      <w:lvlText w:val=""/>
      <w:lvlJc w:val="left"/>
      <w:pPr>
        <w:tabs>
          <w:tab w:val="num" w:pos="4320"/>
        </w:tabs>
        <w:ind w:left="4320" w:hanging="360"/>
      </w:pPr>
      <w:rPr>
        <w:rFonts w:ascii="Symbol" w:hAnsi="Symbol" w:hint="default"/>
      </w:rPr>
    </w:lvl>
    <w:lvl w:ilvl="6" w:tplc="7A9E79C0" w:tentative="1">
      <w:start w:val="1"/>
      <w:numFmt w:val="bullet"/>
      <w:lvlText w:val=""/>
      <w:lvlJc w:val="left"/>
      <w:pPr>
        <w:tabs>
          <w:tab w:val="num" w:pos="5040"/>
        </w:tabs>
        <w:ind w:left="5040" w:hanging="360"/>
      </w:pPr>
      <w:rPr>
        <w:rFonts w:ascii="Symbol" w:hAnsi="Symbol" w:hint="default"/>
      </w:rPr>
    </w:lvl>
    <w:lvl w:ilvl="7" w:tplc="3410A0F6" w:tentative="1">
      <w:start w:val="1"/>
      <w:numFmt w:val="bullet"/>
      <w:lvlText w:val=""/>
      <w:lvlJc w:val="left"/>
      <w:pPr>
        <w:tabs>
          <w:tab w:val="num" w:pos="5760"/>
        </w:tabs>
        <w:ind w:left="5760" w:hanging="360"/>
      </w:pPr>
      <w:rPr>
        <w:rFonts w:ascii="Symbol" w:hAnsi="Symbol" w:hint="default"/>
      </w:rPr>
    </w:lvl>
    <w:lvl w:ilvl="8" w:tplc="771CCA1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A6A4186"/>
    <w:multiLevelType w:val="hybridMultilevel"/>
    <w:tmpl w:val="FA460A2A"/>
    <w:lvl w:ilvl="0" w:tplc="34421210">
      <w:start w:val="1"/>
      <w:numFmt w:val="bullet"/>
      <w:lvlText w:val=""/>
      <w:lvlJc w:val="left"/>
      <w:pPr>
        <w:tabs>
          <w:tab w:val="num" w:pos="720"/>
        </w:tabs>
        <w:ind w:left="720" w:hanging="360"/>
      </w:pPr>
      <w:rPr>
        <w:rFonts w:ascii="Symbol" w:hAnsi="Symbol" w:hint="default"/>
      </w:rPr>
    </w:lvl>
    <w:lvl w:ilvl="1" w:tplc="52D2BC04">
      <w:numFmt w:val="bullet"/>
      <w:lvlText w:val="o"/>
      <w:lvlJc w:val="left"/>
      <w:pPr>
        <w:tabs>
          <w:tab w:val="num" w:pos="1440"/>
        </w:tabs>
        <w:ind w:left="1440" w:hanging="360"/>
      </w:pPr>
      <w:rPr>
        <w:rFonts w:ascii="Courier New" w:hAnsi="Courier New" w:cs="Times New Roman" w:hint="default"/>
      </w:rPr>
    </w:lvl>
    <w:lvl w:ilvl="2" w:tplc="94086B50">
      <w:numFmt w:val="bullet"/>
      <w:lvlText w:val=""/>
      <w:lvlJc w:val="left"/>
      <w:pPr>
        <w:tabs>
          <w:tab w:val="num" w:pos="2160"/>
        </w:tabs>
        <w:ind w:left="2160" w:hanging="360"/>
      </w:pPr>
      <w:rPr>
        <w:rFonts w:ascii="Wingdings" w:hAnsi="Wingdings" w:hint="default"/>
      </w:rPr>
    </w:lvl>
    <w:lvl w:ilvl="3" w:tplc="563E165E">
      <w:numFmt w:val="bullet"/>
      <w:lvlText w:val=""/>
      <w:lvlJc w:val="left"/>
      <w:pPr>
        <w:tabs>
          <w:tab w:val="num" w:pos="2880"/>
        </w:tabs>
        <w:ind w:left="2880" w:hanging="360"/>
      </w:pPr>
      <w:rPr>
        <w:rFonts w:ascii="Symbol" w:hAnsi="Symbol" w:hint="default"/>
      </w:rPr>
    </w:lvl>
    <w:lvl w:ilvl="4" w:tplc="627A6828">
      <w:start w:val="1"/>
      <w:numFmt w:val="bullet"/>
      <w:lvlText w:val=""/>
      <w:lvlJc w:val="left"/>
      <w:pPr>
        <w:tabs>
          <w:tab w:val="num" w:pos="3600"/>
        </w:tabs>
        <w:ind w:left="3600" w:hanging="360"/>
      </w:pPr>
      <w:rPr>
        <w:rFonts w:ascii="Symbol" w:hAnsi="Symbol" w:hint="default"/>
      </w:rPr>
    </w:lvl>
    <w:lvl w:ilvl="5" w:tplc="5D1C95B6">
      <w:start w:val="1"/>
      <w:numFmt w:val="bullet"/>
      <w:lvlText w:val=""/>
      <w:lvlJc w:val="left"/>
      <w:pPr>
        <w:tabs>
          <w:tab w:val="num" w:pos="4320"/>
        </w:tabs>
        <w:ind w:left="4320" w:hanging="360"/>
      </w:pPr>
      <w:rPr>
        <w:rFonts w:ascii="Symbol" w:hAnsi="Symbol" w:hint="default"/>
      </w:rPr>
    </w:lvl>
    <w:lvl w:ilvl="6" w:tplc="132603C6">
      <w:start w:val="1"/>
      <w:numFmt w:val="bullet"/>
      <w:lvlText w:val=""/>
      <w:lvlJc w:val="left"/>
      <w:pPr>
        <w:tabs>
          <w:tab w:val="num" w:pos="5040"/>
        </w:tabs>
        <w:ind w:left="5040" w:hanging="360"/>
      </w:pPr>
      <w:rPr>
        <w:rFonts w:ascii="Symbol" w:hAnsi="Symbol" w:hint="default"/>
      </w:rPr>
    </w:lvl>
    <w:lvl w:ilvl="7" w:tplc="346EB03E">
      <w:start w:val="1"/>
      <w:numFmt w:val="bullet"/>
      <w:lvlText w:val=""/>
      <w:lvlJc w:val="left"/>
      <w:pPr>
        <w:tabs>
          <w:tab w:val="num" w:pos="5760"/>
        </w:tabs>
        <w:ind w:left="5760" w:hanging="360"/>
      </w:pPr>
      <w:rPr>
        <w:rFonts w:ascii="Symbol" w:hAnsi="Symbol" w:hint="default"/>
      </w:rPr>
    </w:lvl>
    <w:lvl w:ilvl="8" w:tplc="D2EE8EBE">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E574DCD"/>
    <w:multiLevelType w:val="hybridMultilevel"/>
    <w:tmpl w:val="E834C012"/>
    <w:lvl w:ilvl="0" w:tplc="0A6C0AA0">
      <w:start w:val="1"/>
      <w:numFmt w:val="bullet"/>
      <w:lvlText w:val=""/>
      <w:lvlJc w:val="left"/>
      <w:pPr>
        <w:tabs>
          <w:tab w:val="num" w:pos="720"/>
        </w:tabs>
        <w:ind w:left="720" w:hanging="360"/>
      </w:pPr>
      <w:rPr>
        <w:rFonts w:ascii="Symbol" w:hAnsi="Symbol" w:hint="default"/>
      </w:rPr>
    </w:lvl>
    <w:lvl w:ilvl="1" w:tplc="0A580E52" w:tentative="1">
      <w:start w:val="1"/>
      <w:numFmt w:val="bullet"/>
      <w:lvlText w:val=""/>
      <w:lvlJc w:val="left"/>
      <w:pPr>
        <w:tabs>
          <w:tab w:val="num" w:pos="1440"/>
        </w:tabs>
        <w:ind w:left="1440" w:hanging="360"/>
      </w:pPr>
      <w:rPr>
        <w:rFonts w:ascii="Symbol" w:hAnsi="Symbol" w:hint="default"/>
      </w:rPr>
    </w:lvl>
    <w:lvl w:ilvl="2" w:tplc="A13CE58C" w:tentative="1">
      <w:start w:val="1"/>
      <w:numFmt w:val="bullet"/>
      <w:lvlText w:val=""/>
      <w:lvlJc w:val="left"/>
      <w:pPr>
        <w:tabs>
          <w:tab w:val="num" w:pos="2160"/>
        </w:tabs>
        <w:ind w:left="2160" w:hanging="360"/>
      </w:pPr>
      <w:rPr>
        <w:rFonts w:ascii="Symbol" w:hAnsi="Symbol" w:hint="default"/>
      </w:rPr>
    </w:lvl>
    <w:lvl w:ilvl="3" w:tplc="D794E728" w:tentative="1">
      <w:start w:val="1"/>
      <w:numFmt w:val="bullet"/>
      <w:lvlText w:val=""/>
      <w:lvlJc w:val="left"/>
      <w:pPr>
        <w:tabs>
          <w:tab w:val="num" w:pos="2880"/>
        </w:tabs>
        <w:ind w:left="2880" w:hanging="360"/>
      </w:pPr>
      <w:rPr>
        <w:rFonts w:ascii="Symbol" w:hAnsi="Symbol" w:hint="default"/>
      </w:rPr>
    </w:lvl>
    <w:lvl w:ilvl="4" w:tplc="8B9C7F12" w:tentative="1">
      <w:start w:val="1"/>
      <w:numFmt w:val="bullet"/>
      <w:lvlText w:val=""/>
      <w:lvlJc w:val="left"/>
      <w:pPr>
        <w:tabs>
          <w:tab w:val="num" w:pos="3600"/>
        </w:tabs>
        <w:ind w:left="3600" w:hanging="360"/>
      </w:pPr>
      <w:rPr>
        <w:rFonts w:ascii="Symbol" w:hAnsi="Symbol" w:hint="default"/>
      </w:rPr>
    </w:lvl>
    <w:lvl w:ilvl="5" w:tplc="6C8A6A82" w:tentative="1">
      <w:start w:val="1"/>
      <w:numFmt w:val="bullet"/>
      <w:lvlText w:val=""/>
      <w:lvlJc w:val="left"/>
      <w:pPr>
        <w:tabs>
          <w:tab w:val="num" w:pos="4320"/>
        </w:tabs>
        <w:ind w:left="4320" w:hanging="360"/>
      </w:pPr>
      <w:rPr>
        <w:rFonts w:ascii="Symbol" w:hAnsi="Symbol" w:hint="default"/>
      </w:rPr>
    </w:lvl>
    <w:lvl w:ilvl="6" w:tplc="5D4CA650" w:tentative="1">
      <w:start w:val="1"/>
      <w:numFmt w:val="bullet"/>
      <w:lvlText w:val=""/>
      <w:lvlJc w:val="left"/>
      <w:pPr>
        <w:tabs>
          <w:tab w:val="num" w:pos="5040"/>
        </w:tabs>
        <w:ind w:left="5040" w:hanging="360"/>
      </w:pPr>
      <w:rPr>
        <w:rFonts w:ascii="Symbol" w:hAnsi="Symbol" w:hint="default"/>
      </w:rPr>
    </w:lvl>
    <w:lvl w:ilvl="7" w:tplc="C7C2DF50" w:tentative="1">
      <w:start w:val="1"/>
      <w:numFmt w:val="bullet"/>
      <w:lvlText w:val=""/>
      <w:lvlJc w:val="left"/>
      <w:pPr>
        <w:tabs>
          <w:tab w:val="num" w:pos="5760"/>
        </w:tabs>
        <w:ind w:left="5760" w:hanging="360"/>
      </w:pPr>
      <w:rPr>
        <w:rFonts w:ascii="Symbol" w:hAnsi="Symbol" w:hint="default"/>
      </w:rPr>
    </w:lvl>
    <w:lvl w:ilvl="8" w:tplc="A4AA969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4" w15:restartNumberingAfterBreak="0">
    <w:nsid w:val="42531DEA"/>
    <w:multiLevelType w:val="hybridMultilevel"/>
    <w:tmpl w:val="9D0424B0"/>
    <w:lvl w:ilvl="0" w:tplc="74BA7C00">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6" w15:restartNumberingAfterBreak="0">
    <w:nsid w:val="6C9266DB"/>
    <w:multiLevelType w:val="hybridMultilevel"/>
    <w:tmpl w:val="7814F7D2"/>
    <w:lvl w:ilvl="0" w:tplc="C83ADF66">
      <w:start w:val="1"/>
      <w:numFmt w:val="bullet"/>
      <w:lvlText w:val=""/>
      <w:lvlJc w:val="left"/>
      <w:pPr>
        <w:tabs>
          <w:tab w:val="num" w:pos="720"/>
        </w:tabs>
        <w:ind w:left="720" w:hanging="360"/>
      </w:pPr>
      <w:rPr>
        <w:rFonts w:ascii="Symbol" w:hAnsi="Symbol" w:hint="default"/>
      </w:rPr>
    </w:lvl>
    <w:lvl w:ilvl="1" w:tplc="04AA581C">
      <w:numFmt w:val="bullet"/>
      <w:lvlText w:val="o"/>
      <w:lvlJc w:val="left"/>
      <w:pPr>
        <w:tabs>
          <w:tab w:val="num" w:pos="1440"/>
        </w:tabs>
        <w:ind w:left="1440" w:hanging="360"/>
      </w:pPr>
      <w:rPr>
        <w:rFonts w:ascii="Courier New" w:hAnsi="Courier New" w:hint="default"/>
      </w:rPr>
    </w:lvl>
    <w:lvl w:ilvl="2" w:tplc="8B48DA70">
      <w:numFmt w:val="bullet"/>
      <w:lvlText w:val=""/>
      <w:lvlJc w:val="left"/>
      <w:pPr>
        <w:tabs>
          <w:tab w:val="num" w:pos="2160"/>
        </w:tabs>
        <w:ind w:left="2160" w:hanging="360"/>
      </w:pPr>
      <w:rPr>
        <w:rFonts w:ascii="Symbol" w:hAnsi="Symbol" w:hint="default"/>
      </w:rPr>
    </w:lvl>
    <w:lvl w:ilvl="3" w:tplc="B114CFE2" w:tentative="1">
      <w:start w:val="1"/>
      <w:numFmt w:val="bullet"/>
      <w:lvlText w:val=""/>
      <w:lvlJc w:val="left"/>
      <w:pPr>
        <w:tabs>
          <w:tab w:val="num" w:pos="2880"/>
        </w:tabs>
        <w:ind w:left="2880" w:hanging="360"/>
      </w:pPr>
      <w:rPr>
        <w:rFonts w:ascii="Symbol" w:hAnsi="Symbol" w:hint="default"/>
      </w:rPr>
    </w:lvl>
    <w:lvl w:ilvl="4" w:tplc="D14E2E02" w:tentative="1">
      <w:start w:val="1"/>
      <w:numFmt w:val="bullet"/>
      <w:lvlText w:val=""/>
      <w:lvlJc w:val="left"/>
      <w:pPr>
        <w:tabs>
          <w:tab w:val="num" w:pos="3600"/>
        </w:tabs>
        <w:ind w:left="3600" w:hanging="360"/>
      </w:pPr>
      <w:rPr>
        <w:rFonts w:ascii="Symbol" w:hAnsi="Symbol" w:hint="default"/>
      </w:rPr>
    </w:lvl>
    <w:lvl w:ilvl="5" w:tplc="74C296D8" w:tentative="1">
      <w:start w:val="1"/>
      <w:numFmt w:val="bullet"/>
      <w:lvlText w:val=""/>
      <w:lvlJc w:val="left"/>
      <w:pPr>
        <w:tabs>
          <w:tab w:val="num" w:pos="4320"/>
        </w:tabs>
        <w:ind w:left="4320" w:hanging="360"/>
      </w:pPr>
      <w:rPr>
        <w:rFonts w:ascii="Symbol" w:hAnsi="Symbol" w:hint="default"/>
      </w:rPr>
    </w:lvl>
    <w:lvl w:ilvl="6" w:tplc="59AEE1B4" w:tentative="1">
      <w:start w:val="1"/>
      <w:numFmt w:val="bullet"/>
      <w:lvlText w:val=""/>
      <w:lvlJc w:val="left"/>
      <w:pPr>
        <w:tabs>
          <w:tab w:val="num" w:pos="5040"/>
        </w:tabs>
        <w:ind w:left="5040" w:hanging="360"/>
      </w:pPr>
      <w:rPr>
        <w:rFonts w:ascii="Symbol" w:hAnsi="Symbol" w:hint="default"/>
      </w:rPr>
    </w:lvl>
    <w:lvl w:ilvl="7" w:tplc="49825002" w:tentative="1">
      <w:start w:val="1"/>
      <w:numFmt w:val="bullet"/>
      <w:lvlText w:val=""/>
      <w:lvlJc w:val="left"/>
      <w:pPr>
        <w:tabs>
          <w:tab w:val="num" w:pos="5760"/>
        </w:tabs>
        <w:ind w:left="5760" w:hanging="360"/>
      </w:pPr>
      <w:rPr>
        <w:rFonts w:ascii="Symbol" w:hAnsi="Symbol" w:hint="default"/>
      </w:rPr>
    </w:lvl>
    <w:lvl w:ilvl="8" w:tplc="EFA4F71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581155B"/>
    <w:multiLevelType w:val="hybridMultilevel"/>
    <w:tmpl w:val="9146B76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8" w15:restartNumberingAfterBreak="0">
    <w:nsid w:val="7B1E7198"/>
    <w:multiLevelType w:val="hybridMultilevel"/>
    <w:tmpl w:val="4AF40444"/>
    <w:lvl w:ilvl="0" w:tplc="FACE7574">
      <w:start w:val="1"/>
      <w:numFmt w:val="bullet"/>
      <w:lvlText w:val="•"/>
      <w:lvlJc w:val="left"/>
      <w:pPr>
        <w:tabs>
          <w:tab w:val="num" w:pos="644"/>
        </w:tabs>
        <w:ind w:left="644" w:hanging="360"/>
      </w:pPr>
      <w:rPr>
        <w:rFonts w:ascii="BatangChe" w:hAnsi="BatangChe" w:hint="default"/>
      </w:rPr>
    </w:lvl>
    <w:lvl w:ilvl="1" w:tplc="8132B834">
      <w:start w:val="1"/>
      <w:numFmt w:val="bullet"/>
      <w:lvlText w:val="•"/>
      <w:lvlJc w:val="left"/>
      <w:pPr>
        <w:tabs>
          <w:tab w:val="num" w:pos="1364"/>
        </w:tabs>
        <w:ind w:left="1364" w:hanging="360"/>
      </w:pPr>
      <w:rPr>
        <w:rFonts w:ascii="BatangChe" w:hAnsi="BatangChe" w:hint="default"/>
      </w:rPr>
    </w:lvl>
    <w:lvl w:ilvl="2" w:tplc="570CED5A">
      <w:start w:val="1"/>
      <w:numFmt w:val="bullet"/>
      <w:lvlText w:val="•"/>
      <w:lvlJc w:val="left"/>
      <w:pPr>
        <w:tabs>
          <w:tab w:val="num" w:pos="2084"/>
        </w:tabs>
        <w:ind w:left="2084" w:hanging="360"/>
      </w:pPr>
      <w:rPr>
        <w:rFonts w:ascii="BatangChe" w:hAnsi="BatangChe" w:hint="default"/>
      </w:rPr>
    </w:lvl>
    <w:lvl w:ilvl="3" w:tplc="48EE6062">
      <w:numFmt w:val="bullet"/>
      <w:lvlText w:val="□"/>
      <w:lvlJc w:val="left"/>
      <w:pPr>
        <w:tabs>
          <w:tab w:val="num" w:pos="2804"/>
        </w:tabs>
        <w:ind w:left="2804" w:hanging="360"/>
      </w:pPr>
      <w:rPr>
        <w:rFonts w:ascii="Times New Roman" w:hAnsi="Times New Roman" w:hint="default"/>
      </w:rPr>
    </w:lvl>
    <w:lvl w:ilvl="4" w:tplc="087E0EFE">
      <w:numFmt w:val="bullet"/>
      <w:lvlText w:val="▪"/>
      <w:lvlJc w:val="left"/>
      <w:pPr>
        <w:tabs>
          <w:tab w:val="num" w:pos="3524"/>
        </w:tabs>
        <w:ind w:left="3524" w:hanging="360"/>
      </w:pPr>
      <w:rPr>
        <w:rFonts w:ascii="Times New Roman" w:hAnsi="Times New Roman" w:hint="default"/>
      </w:rPr>
    </w:lvl>
    <w:lvl w:ilvl="5" w:tplc="7848DFEA" w:tentative="1">
      <w:start w:val="1"/>
      <w:numFmt w:val="bullet"/>
      <w:lvlText w:val="•"/>
      <w:lvlJc w:val="left"/>
      <w:pPr>
        <w:tabs>
          <w:tab w:val="num" w:pos="4244"/>
        </w:tabs>
        <w:ind w:left="4244" w:hanging="360"/>
      </w:pPr>
      <w:rPr>
        <w:rFonts w:ascii="BatangChe" w:hAnsi="BatangChe" w:hint="default"/>
      </w:rPr>
    </w:lvl>
    <w:lvl w:ilvl="6" w:tplc="A0127034" w:tentative="1">
      <w:start w:val="1"/>
      <w:numFmt w:val="bullet"/>
      <w:lvlText w:val="•"/>
      <w:lvlJc w:val="left"/>
      <w:pPr>
        <w:tabs>
          <w:tab w:val="num" w:pos="4964"/>
        </w:tabs>
        <w:ind w:left="4964" w:hanging="360"/>
      </w:pPr>
      <w:rPr>
        <w:rFonts w:ascii="BatangChe" w:hAnsi="BatangChe" w:hint="default"/>
      </w:rPr>
    </w:lvl>
    <w:lvl w:ilvl="7" w:tplc="135C1506" w:tentative="1">
      <w:start w:val="1"/>
      <w:numFmt w:val="bullet"/>
      <w:lvlText w:val="•"/>
      <w:lvlJc w:val="left"/>
      <w:pPr>
        <w:tabs>
          <w:tab w:val="num" w:pos="5684"/>
        </w:tabs>
        <w:ind w:left="5684" w:hanging="360"/>
      </w:pPr>
      <w:rPr>
        <w:rFonts w:ascii="BatangChe" w:hAnsi="BatangChe" w:hint="default"/>
      </w:rPr>
    </w:lvl>
    <w:lvl w:ilvl="8" w:tplc="CB749DCE" w:tentative="1">
      <w:start w:val="1"/>
      <w:numFmt w:val="bullet"/>
      <w:lvlText w:val="•"/>
      <w:lvlJc w:val="left"/>
      <w:pPr>
        <w:tabs>
          <w:tab w:val="num" w:pos="6404"/>
        </w:tabs>
        <w:ind w:left="6404" w:hanging="360"/>
      </w:pPr>
      <w:rPr>
        <w:rFonts w:ascii="BatangChe" w:hAnsi="BatangChe" w:hint="default"/>
      </w:rPr>
    </w:lvl>
  </w:abstractNum>
  <w:num w:numId="1">
    <w:abstractNumId w:val="8"/>
  </w:num>
  <w:num w:numId="2">
    <w:abstractNumId w:val="13"/>
  </w:num>
  <w:num w:numId="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17"/>
  </w:num>
  <w:num w:numId="7">
    <w:abstractNumId w:val="12"/>
  </w:num>
  <w:num w:numId="8">
    <w:abstractNumId w:val="9"/>
  </w:num>
  <w:num w:numId="9">
    <w:abstractNumId w:val="2"/>
  </w:num>
  <w:num w:numId="10">
    <w:abstractNumId w:val="11"/>
  </w:num>
  <w:num w:numId="11">
    <w:abstractNumId w:val="16"/>
  </w:num>
  <w:num w:numId="12">
    <w:abstractNumId w:val="10"/>
  </w:num>
  <w:num w:numId="13">
    <w:abstractNumId w:val="18"/>
  </w:num>
  <w:num w:numId="14">
    <w:abstractNumId w:val="5"/>
  </w:num>
  <w:num w:numId="15">
    <w:abstractNumId w:val="4"/>
  </w:num>
  <w:num w:numId="16">
    <w:abstractNumId w:val="3"/>
  </w:num>
  <w:num w:numId="17">
    <w:abstractNumId w:val="14"/>
  </w:num>
  <w:num w:numId="18">
    <w:abstractNumId w:val="6"/>
  </w:num>
  <w:num w:numId="19">
    <w:abstractNumId w:val="15"/>
    <w:lvlOverride w:ilvl="0"/>
    <w:lvlOverride w:ilvl="1"/>
    <w:lvlOverride w:ilvl="2">
      <w:startOverride w:val="1"/>
    </w:lvlOverride>
    <w:lvlOverride w:ilvl="3"/>
    <w:lvlOverride w:ilvl="4"/>
    <w:lvlOverride w:ilvl="5"/>
    <w:lvlOverride w:ilvl="6"/>
    <w:lvlOverride w:ilvl="7"/>
    <w:lvlOverride w:ilvl="8"/>
  </w:num>
  <w:num w:numId="2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176"/>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6AC"/>
    <w:rsid w:val="0001677F"/>
    <w:rsid w:val="0001734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0E"/>
    <w:rsid w:val="00033544"/>
    <w:rsid w:val="0003479E"/>
    <w:rsid w:val="00034978"/>
    <w:rsid w:val="00035691"/>
    <w:rsid w:val="00035DB0"/>
    <w:rsid w:val="0003767C"/>
    <w:rsid w:val="00040F4F"/>
    <w:rsid w:val="0004132D"/>
    <w:rsid w:val="00041C9D"/>
    <w:rsid w:val="00041D60"/>
    <w:rsid w:val="00042686"/>
    <w:rsid w:val="00043723"/>
    <w:rsid w:val="000448E0"/>
    <w:rsid w:val="00044CFA"/>
    <w:rsid w:val="000459C7"/>
    <w:rsid w:val="00046630"/>
    <w:rsid w:val="00046C80"/>
    <w:rsid w:val="00050112"/>
    <w:rsid w:val="00050276"/>
    <w:rsid w:val="00050466"/>
    <w:rsid w:val="000505CC"/>
    <w:rsid w:val="00050C83"/>
    <w:rsid w:val="000511F9"/>
    <w:rsid w:val="00051B32"/>
    <w:rsid w:val="0005230E"/>
    <w:rsid w:val="00052850"/>
    <w:rsid w:val="000528A2"/>
    <w:rsid w:val="00052BBA"/>
    <w:rsid w:val="00053588"/>
    <w:rsid w:val="00054C9B"/>
    <w:rsid w:val="00054D9D"/>
    <w:rsid w:val="00054F46"/>
    <w:rsid w:val="00055676"/>
    <w:rsid w:val="00056544"/>
    <w:rsid w:val="00060D8E"/>
    <w:rsid w:val="00061F18"/>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C5C"/>
    <w:rsid w:val="00075FDA"/>
    <w:rsid w:val="00076386"/>
    <w:rsid w:val="00076D82"/>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A39"/>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B771E"/>
    <w:rsid w:val="000C0748"/>
    <w:rsid w:val="000C1D59"/>
    <w:rsid w:val="000C214C"/>
    <w:rsid w:val="000C2B09"/>
    <w:rsid w:val="000C30CF"/>
    <w:rsid w:val="000C501D"/>
    <w:rsid w:val="000C5CBA"/>
    <w:rsid w:val="000C74BA"/>
    <w:rsid w:val="000C7531"/>
    <w:rsid w:val="000C7BA7"/>
    <w:rsid w:val="000C7C3F"/>
    <w:rsid w:val="000C7E1B"/>
    <w:rsid w:val="000D0BD6"/>
    <w:rsid w:val="000D0C61"/>
    <w:rsid w:val="000D1440"/>
    <w:rsid w:val="000D27AD"/>
    <w:rsid w:val="000D28CF"/>
    <w:rsid w:val="000D29D1"/>
    <w:rsid w:val="000D2B0A"/>
    <w:rsid w:val="000D2E23"/>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4E97"/>
    <w:rsid w:val="000E53AB"/>
    <w:rsid w:val="000E5716"/>
    <w:rsid w:val="000E7941"/>
    <w:rsid w:val="000E7A79"/>
    <w:rsid w:val="000F15B2"/>
    <w:rsid w:val="000F19DE"/>
    <w:rsid w:val="000F2B1D"/>
    <w:rsid w:val="000F2E1F"/>
    <w:rsid w:val="000F37B0"/>
    <w:rsid w:val="000F4595"/>
    <w:rsid w:val="000F4B05"/>
    <w:rsid w:val="000F4CB2"/>
    <w:rsid w:val="000F4E44"/>
    <w:rsid w:val="000F4E90"/>
    <w:rsid w:val="000F5319"/>
    <w:rsid w:val="000F53AB"/>
    <w:rsid w:val="000F568D"/>
    <w:rsid w:val="000F68D0"/>
    <w:rsid w:val="000F6B15"/>
    <w:rsid w:val="000F73FD"/>
    <w:rsid w:val="0010145A"/>
    <w:rsid w:val="0010170B"/>
    <w:rsid w:val="00101C4F"/>
    <w:rsid w:val="00102C9F"/>
    <w:rsid w:val="00103565"/>
    <w:rsid w:val="00104547"/>
    <w:rsid w:val="001059C8"/>
    <w:rsid w:val="00105F1F"/>
    <w:rsid w:val="00106279"/>
    <w:rsid w:val="001068D2"/>
    <w:rsid w:val="00106932"/>
    <w:rsid w:val="001069F2"/>
    <w:rsid w:val="00106B99"/>
    <w:rsid w:val="00107ADC"/>
    <w:rsid w:val="001103BD"/>
    <w:rsid w:val="001107F0"/>
    <w:rsid w:val="00110E23"/>
    <w:rsid w:val="00111208"/>
    <w:rsid w:val="001115E4"/>
    <w:rsid w:val="00111808"/>
    <w:rsid w:val="001121A9"/>
    <w:rsid w:val="00112220"/>
    <w:rsid w:val="0011339F"/>
    <w:rsid w:val="00113B8F"/>
    <w:rsid w:val="00113EC8"/>
    <w:rsid w:val="00113F2E"/>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5439"/>
    <w:rsid w:val="0012673D"/>
    <w:rsid w:val="001269B8"/>
    <w:rsid w:val="00127099"/>
    <w:rsid w:val="00127AEC"/>
    <w:rsid w:val="001315BA"/>
    <w:rsid w:val="00132830"/>
    <w:rsid w:val="00132B71"/>
    <w:rsid w:val="0013426D"/>
    <w:rsid w:val="0013427A"/>
    <w:rsid w:val="001348FE"/>
    <w:rsid w:val="0013492C"/>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35E9"/>
    <w:rsid w:val="00144C87"/>
    <w:rsid w:val="00144D08"/>
    <w:rsid w:val="001467B1"/>
    <w:rsid w:val="0014686C"/>
    <w:rsid w:val="0014758E"/>
    <w:rsid w:val="00147640"/>
    <w:rsid w:val="00150175"/>
    <w:rsid w:val="001502C8"/>
    <w:rsid w:val="00150317"/>
    <w:rsid w:val="001503CB"/>
    <w:rsid w:val="001509A3"/>
    <w:rsid w:val="00151011"/>
    <w:rsid w:val="00151224"/>
    <w:rsid w:val="0015130F"/>
    <w:rsid w:val="001532BA"/>
    <w:rsid w:val="00153FED"/>
    <w:rsid w:val="00155953"/>
    <w:rsid w:val="00155BFD"/>
    <w:rsid w:val="0015685B"/>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5518"/>
    <w:rsid w:val="001663FB"/>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576"/>
    <w:rsid w:val="00186904"/>
    <w:rsid w:val="00186B0A"/>
    <w:rsid w:val="001875A6"/>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414A"/>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7180"/>
    <w:rsid w:val="001B7E0C"/>
    <w:rsid w:val="001C0041"/>
    <w:rsid w:val="001C0674"/>
    <w:rsid w:val="001C1405"/>
    <w:rsid w:val="001C1B93"/>
    <w:rsid w:val="001C226F"/>
    <w:rsid w:val="001C38FA"/>
    <w:rsid w:val="001C5296"/>
    <w:rsid w:val="001C66AC"/>
    <w:rsid w:val="001C6754"/>
    <w:rsid w:val="001C6B44"/>
    <w:rsid w:val="001C77F0"/>
    <w:rsid w:val="001C79E5"/>
    <w:rsid w:val="001D25E2"/>
    <w:rsid w:val="001D30C8"/>
    <w:rsid w:val="001D30C9"/>
    <w:rsid w:val="001D445B"/>
    <w:rsid w:val="001D46A0"/>
    <w:rsid w:val="001D46C7"/>
    <w:rsid w:val="001D4E24"/>
    <w:rsid w:val="001D50C2"/>
    <w:rsid w:val="001D5937"/>
    <w:rsid w:val="001D5967"/>
    <w:rsid w:val="001D753C"/>
    <w:rsid w:val="001D7CA4"/>
    <w:rsid w:val="001D7DC4"/>
    <w:rsid w:val="001D7E58"/>
    <w:rsid w:val="001E13B3"/>
    <w:rsid w:val="001E30A0"/>
    <w:rsid w:val="001E3DE1"/>
    <w:rsid w:val="001E4D4F"/>
    <w:rsid w:val="001E54F9"/>
    <w:rsid w:val="001E57CF"/>
    <w:rsid w:val="001E5981"/>
    <w:rsid w:val="001E6333"/>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5396"/>
    <w:rsid w:val="001F65B0"/>
    <w:rsid w:val="001F67AA"/>
    <w:rsid w:val="001F6A62"/>
    <w:rsid w:val="001F6AFD"/>
    <w:rsid w:val="001F738D"/>
    <w:rsid w:val="001F7599"/>
    <w:rsid w:val="00201710"/>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5BB"/>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094B"/>
    <w:rsid w:val="002312F4"/>
    <w:rsid w:val="002313A2"/>
    <w:rsid w:val="00231513"/>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31F"/>
    <w:rsid w:val="002418E8"/>
    <w:rsid w:val="00241E72"/>
    <w:rsid w:val="00242E22"/>
    <w:rsid w:val="0024336B"/>
    <w:rsid w:val="00243B84"/>
    <w:rsid w:val="00244194"/>
    <w:rsid w:val="002441BB"/>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575E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16"/>
    <w:rsid w:val="00275074"/>
    <w:rsid w:val="002763E9"/>
    <w:rsid w:val="00276573"/>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6A3E"/>
    <w:rsid w:val="00297926"/>
    <w:rsid w:val="00297AF8"/>
    <w:rsid w:val="002A02C9"/>
    <w:rsid w:val="002A1062"/>
    <w:rsid w:val="002A16B1"/>
    <w:rsid w:val="002A2012"/>
    <w:rsid w:val="002A2413"/>
    <w:rsid w:val="002A2F5E"/>
    <w:rsid w:val="002A352A"/>
    <w:rsid w:val="002A5EC6"/>
    <w:rsid w:val="002A607D"/>
    <w:rsid w:val="002A7A13"/>
    <w:rsid w:val="002B132E"/>
    <w:rsid w:val="002B1499"/>
    <w:rsid w:val="002B1507"/>
    <w:rsid w:val="002B1DF1"/>
    <w:rsid w:val="002B27FA"/>
    <w:rsid w:val="002B2813"/>
    <w:rsid w:val="002B2D29"/>
    <w:rsid w:val="002B3B31"/>
    <w:rsid w:val="002B3BBD"/>
    <w:rsid w:val="002B4FA7"/>
    <w:rsid w:val="002B75BC"/>
    <w:rsid w:val="002C00AC"/>
    <w:rsid w:val="002C0C4B"/>
    <w:rsid w:val="002C1EEA"/>
    <w:rsid w:val="002C2D60"/>
    <w:rsid w:val="002C43E4"/>
    <w:rsid w:val="002C448F"/>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C2"/>
    <w:rsid w:val="002E62D2"/>
    <w:rsid w:val="002E734F"/>
    <w:rsid w:val="002E74AF"/>
    <w:rsid w:val="002E758C"/>
    <w:rsid w:val="002F1038"/>
    <w:rsid w:val="002F13C9"/>
    <w:rsid w:val="002F1987"/>
    <w:rsid w:val="002F22FF"/>
    <w:rsid w:val="002F239B"/>
    <w:rsid w:val="002F2D8F"/>
    <w:rsid w:val="002F5BE4"/>
    <w:rsid w:val="002F5D93"/>
    <w:rsid w:val="002F613F"/>
    <w:rsid w:val="002F695B"/>
    <w:rsid w:val="002F7128"/>
    <w:rsid w:val="002F72DA"/>
    <w:rsid w:val="002F76B1"/>
    <w:rsid w:val="002F7CDC"/>
    <w:rsid w:val="002F7D66"/>
    <w:rsid w:val="002F7DBE"/>
    <w:rsid w:val="002FD911"/>
    <w:rsid w:val="00300019"/>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03"/>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DDC"/>
    <w:rsid w:val="00341E60"/>
    <w:rsid w:val="0034217F"/>
    <w:rsid w:val="00342AD2"/>
    <w:rsid w:val="00343954"/>
    <w:rsid w:val="0034402E"/>
    <w:rsid w:val="00345405"/>
    <w:rsid w:val="00345DDD"/>
    <w:rsid w:val="003468CA"/>
    <w:rsid w:val="00346D80"/>
    <w:rsid w:val="00346FED"/>
    <w:rsid w:val="00351559"/>
    <w:rsid w:val="00351E01"/>
    <w:rsid w:val="00352502"/>
    <w:rsid w:val="00352968"/>
    <w:rsid w:val="0035298B"/>
    <w:rsid w:val="00352D21"/>
    <w:rsid w:val="0035443D"/>
    <w:rsid w:val="00354AA2"/>
    <w:rsid w:val="00354FEE"/>
    <w:rsid w:val="00355916"/>
    <w:rsid w:val="00356275"/>
    <w:rsid w:val="00356C0B"/>
    <w:rsid w:val="00356FF1"/>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4F81"/>
    <w:rsid w:val="003757A1"/>
    <w:rsid w:val="00375D09"/>
    <w:rsid w:val="003762DC"/>
    <w:rsid w:val="0037630F"/>
    <w:rsid w:val="0037739D"/>
    <w:rsid w:val="0037751C"/>
    <w:rsid w:val="0038038F"/>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47E"/>
    <w:rsid w:val="003919D0"/>
    <w:rsid w:val="00392491"/>
    <w:rsid w:val="003935B0"/>
    <w:rsid w:val="00393E44"/>
    <w:rsid w:val="00394301"/>
    <w:rsid w:val="0039747B"/>
    <w:rsid w:val="00397AB6"/>
    <w:rsid w:val="00397ACA"/>
    <w:rsid w:val="00397C9D"/>
    <w:rsid w:val="003A0D87"/>
    <w:rsid w:val="003A10C3"/>
    <w:rsid w:val="003A190E"/>
    <w:rsid w:val="003A2658"/>
    <w:rsid w:val="003A2CD3"/>
    <w:rsid w:val="003A495D"/>
    <w:rsid w:val="003A4A40"/>
    <w:rsid w:val="003A4C7C"/>
    <w:rsid w:val="003A4DBF"/>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577"/>
    <w:rsid w:val="003B6EC0"/>
    <w:rsid w:val="003B75B9"/>
    <w:rsid w:val="003C087B"/>
    <w:rsid w:val="003C0DA2"/>
    <w:rsid w:val="003C1A18"/>
    <w:rsid w:val="003C3114"/>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62FA"/>
    <w:rsid w:val="003D764F"/>
    <w:rsid w:val="003E0042"/>
    <w:rsid w:val="003E0667"/>
    <w:rsid w:val="003E0BCE"/>
    <w:rsid w:val="003E13E0"/>
    <w:rsid w:val="003E1660"/>
    <w:rsid w:val="003E1CD1"/>
    <w:rsid w:val="003E2A2D"/>
    <w:rsid w:val="003E47D4"/>
    <w:rsid w:val="003E4B20"/>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2CD"/>
    <w:rsid w:val="0040473B"/>
    <w:rsid w:val="00405AD4"/>
    <w:rsid w:val="00406A66"/>
    <w:rsid w:val="00406B4D"/>
    <w:rsid w:val="00407AA8"/>
    <w:rsid w:val="0041127E"/>
    <w:rsid w:val="00411B1D"/>
    <w:rsid w:val="00412E9B"/>
    <w:rsid w:val="0041443C"/>
    <w:rsid w:val="004144C8"/>
    <w:rsid w:val="0041488F"/>
    <w:rsid w:val="004154B6"/>
    <w:rsid w:val="004154F7"/>
    <w:rsid w:val="004162DA"/>
    <w:rsid w:val="004165F9"/>
    <w:rsid w:val="00416D44"/>
    <w:rsid w:val="004176FF"/>
    <w:rsid w:val="00417A1E"/>
    <w:rsid w:val="00417C69"/>
    <w:rsid w:val="00420E0E"/>
    <w:rsid w:val="00421A27"/>
    <w:rsid w:val="00421D0A"/>
    <w:rsid w:val="004226C3"/>
    <w:rsid w:val="00423EC0"/>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2A7"/>
    <w:rsid w:val="00441B92"/>
    <w:rsid w:val="004434F5"/>
    <w:rsid w:val="00443A9F"/>
    <w:rsid w:val="0044474B"/>
    <w:rsid w:val="00445FF7"/>
    <w:rsid w:val="004508A8"/>
    <w:rsid w:val="00450D0C"/>
    <w:rsid w:val="00450EB3"/>
    <w:rsid w:val="00452CA7"/>
    <w:rsid w:val="00452DF8"/>
    <w:rsid w:val="00453341"/>
    <w:rsid w:val="00453B5E"/>
    <w:rsid w:val="004540E6"/>
    <w:rsid w:val="004545C6"/>
    <w:rsid w:val="00454870"/>
    <w:rsid w:val="00454DCA"/>
    <w:rsid w:val="00454E26"/>
    <w:rsid w:val="00456544"/>
    <w:rsid w:val="00456649"/>
    <w:rsid w:val="004567B7"/>
    <w:rsid w:val="00456856"/>
    <w:rsid w:val="004571D0"/>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77032"/>
    <w:rsid w:val="0048076D"/>
    <w:rsid w:val="004812B9"/>
    <w:rsid w:val="0048134D"/>
    <w:rsid w:val="004813B4"/>
    <w:rsid w:val="00481624"/>
    <w:rsid w:val="00481765"/>
    <w:rsid w:val="00481D90"/>
    <w:rsid w:val="00482700"/>
    <w:rsid w:val="00482CD4"/>
    <w:rsid w:val="00483261"/>
    <w:rsid w:val="0048328A"/>
    <w:rsid w:val="00484377"/>
    <w:rsid w:val="00484E27"/>
    <w:rsid w:val="00485B23"/>
    <w:rsid w:val="00485B50"/>
    <w:rsid w:val="00486635"/>
    <w:rsid w:val="004874E4"/>
    <w:rsid w:val="0049070D"/>
    <w:rsid w:val="00490A39"/>
    <w:rsid w:val="00490E82"/>
    <w:rsid w:val="00491793"/>
    <w:rsid w:val="00491BE4"/>
    <w:rsid w:val="00491DB2"/>
    <w:rsid w:val="00491E0E"/>
    <w:rsid w:val="00492877"/>
    <w:rsid w:val="00494A9C"/>
    <w:rsid w:val="00495BA6"/>
    <w:rsid w:val="00496DC2"/>
    <w:rsid w:val="00496E75"/>
    <w:rsid w:val="004A014C"/>
    <w:rsid w:val="004A0AA8"/>
    <w:rsid w:val="004A0E06"/>
    <w:rsid w:val="004A1FE4"/>
    <w:rsid w:val="004A2103"/>
    <w:rsid w:val="004A2CA9"/>
    <w:rsid w:val="004A33EF"/>
    <w:rsid w:val="004A34C9"/>
    <w:rsid w:val="004A3CB5"/>
    <w:rsid w:val="004A537D"/>
    <w:rsid w:val="004A61C0"/>
    <w:rsid w:val="004A67F0"/>
    <w:rsid w:val="004A71C3"/>
    <w:rsid w:val="004A7769"/>
    <w:rsid w:val="004A7E53"/>
    <w:rsid w:val="004B1A65"/>
    <w:rsid w:val="004B23AD"/>
    <w:rsid w:val="004B2965"/>
    <w:rsid w:val="004B3265"/>
    <w:rsid w:val="004B4224"/>
    <w:rsid w:val="004B4297"/>
    <w:rsid w:val="004B4467"/>
    <w:rsid w:val="004B4647"/>
    <w:rsid w:val="004B467F"/>
    <w:rsid w:val="004B4BB7"/>
    <w:rsid w:val="004B6B25"/>
    <w:rsid w:val="004B7455"/>
    <w:rsid w:val="004B74FF"/>
    <w:rsid w:val="004B7CE4"/>
    <w:rsid w:val="004C0401"/>
    <w:rsid w:val="004C0C49"/>
    <w:rsid w:val="004C1096"/>
    <w:rsid w:val="004C183D"/>
    <w:rsid w:val="004C34F0"/>
    <w:rsid w:val="004C394F"/>
    <w:rsid w:val="004C3EC7"/>
    <w:rsid w:val="004C3EEE"/>
    <w:rsid w:val="004C483D"/>
    <w:rsid w:val="004C4D15"/>
    <w:rsid w:val="004C4D8E"/>
    <w:rsid w:val="004C5413"/>
    <w:rsid w:val="004C6DA5"/>
    <w:rsid w:val="004C6E1A"/>
    <w:rsid w:val="004C795A"/>
    <w:rsid w:val="004C7BFE"/>
    <w:rsid w:val="004C7F93"/>
    <w:rsid w:val="004D07BA"/>
    <w:rsid w:val="004D2629"/>
    <w:rsid w:val="004D26B8"/>
    <w:rsid w:val="004D2C2C"/>
    <w:rsid w:val="004D2D53"/>
    <w:rsid w:val="004D38C2"/>
    <w:rsid w:val="004D41DC"/>
    <w:rsid w:val="004D4654"/>
    <w:rsid w:val="004D4FBD"/>
    <w:rsid w:val="004D4FC0"/>
    <w:rsid w:val="004D5CE7"/>
    <w:rsid w:val="004D6381"/>
    <w:rsid w:val="004D74D1"/>
    <w:rsid w:val="004D7DA8"/>
    <w:rsid w:val="004E10CD"/>
    <w:rsid w:val="004E1401"/>
    <w:rsid w:val="004E1F39"/>
    <w:rsid w:val="004E2892"/>
    <w:rsid w:val="004E362B"/>
    <w:rsid w:val="004E3681"/>
    <w:rsid w:val="004E3D74"/>
    <w:rsid w:val="004E5371"/>
    <w:rsid w:val="004E59FE"/>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2B1"/>
    <w:rsid w:val="00501304"/>
    <w:rsid w:val="00501425"/>
    <w:rsid w:val="0050318B"/>
    <w:rsid w:val="00503B83"/>
    <w:rsid w:val="00503CF2"/>
    <w:rsid w:val="00503E1C"/>
    <w:rsid w:val="00504311"/>
    <w:rsid w:val="0050431E"/>
    <w:rsid w:val="0050485C"/>
    <w:rsid w:val="00504AC6"/>
    <w:rsid w:val="00504D75"/>
    <w:rsid w:val="00504DAB"/>
    <w:rsid w:val="00505190"/>
    <w:rsid w:val="00505631"/>
    <w:rsid w:val="00505D51"/>
    <w:rsid w:val="00506912"/>
    <w:rsid w:val="00506C99"/>
    <w:rsid w:val="00507242"/>
    <w:rsid w:val="0050739F"/>
    <w:rsid w:val="00510ABC"/>
    <w:rsid w:val="00511079"/>
    <w:rsid w:val="00511411"/>
    <w:rsid w:val="00511CDF"/>
    <w:rsid w:val="00512829"/>
    <w:rsid w:val="005131A4"/>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1684"/>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6B0"/>
    <w:rsid w:val="005518ED"/>
    <w:rsid w:val="00551A1C"/>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29A"/>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999"/>
    <w:rsid w:val="00582E4F"/>
    <w:rsid w:val="00582F21"/>
    <w:rsid w:val="005831DD"/>
    <w:rsid w:val="00583894"/>
    <w:rsid w:val="00584320"/>
    <w:rsid w:val="00584D6D"/>
    <w:rsid w:val="00585484"/>
    <w:rsid w:val="00585557"/>
    <w:rsid w:val="00587229"/>
    <w:rsid w:val="00587503"/>
    <w:rsid w:val="00587F7F"/>
    <w:rsid w:val="005905FA"/>
    <w:rsid w:val="005909F4"/>
    <w:rsid w:val="00590E8D"/>
    <w:rsid w:val="00591229"/>
    <w:rsid w:val="0059128A"/>
    <w:rsid w:val="00591511"/>
    <w:rsid w:val="00591E50"/>
    <w:rsid w:val="00592C28"/>
    <w:rsid w:val="00592CDA"/>
    <w:rsid w:val="0059331A"/>
    <w:rsid w:val="005938E6"/>
    <w:rsid w:val="00593A72"/>
    <w:rsid w:val="00595A8C"/>
    <w:rsid w:val="00595C2C"/>
    <w:rsid w:val="00596180"/>
    <w:rsid w:val="00596BBA"/>
    <w:rsid w:val="00596E1E"/>
    <w:rsid w:val="00597386"/>
    <w:rsid w:val="005975C4"/>
    <w:rsid w:val="00597CAB"/>
    <w:rsid w:val="00597ED8"/>
    <w:rsid w:val="005A035B"/>
    <w:rsid w:val="005A0DE8"/>
    <w:rsid w:val="005A17AE"/>
    <w:rsid w:val="005A272E"/>
    <w:rsid w:val="005A2B20"/>
    <w:rsid w:val="005A34D5"/>
    <w:rsid w:val="005A3943"/>
    <w:rsid w:val="005A4904"/>
    <w:rsid w:val="005A515A"/>
    <w:rsid w:val="005A5C5B"/>
    <w:rsid w:val="005A5D83"/>
    <w:rsid w:val="005A704D"/>
    <w:rsid w:val="005A72A6"/>
    <w:rsid w:val="005B355B"/>
    <w:rsid w:val="005B3C6D"/>
    <w:rsid w:val="005B4045"/>
    <w:rsid w:val="005B42A1"/>
    <w:rsid w:val="005B5D98"/>
    <w:rsid w:val="005B609E"/>
    <w:rsid w:val="005B6DF6"/>
    <w:rsid w:val="005B7469"/>
    <w:rsid w:val="005B7B7D"/>
    <w:rsid w:val="005C1948"/>
    <w:rsid w:val="005C1D4A"/>
    <w:rsid w:val="005C22F9"/>
    <w:rsid w:val="005C263C"/>
    <w:rsid w:val="005C2679"/>
    <w:rsid w:val="005C298C"/>
    <w:rsid w:val="005C345E"/>
    <w:rsid w:val="005C519A"/>
    <w:rsid w:val="005C5870"/>
    <w:rsid w:val="005C77C4"/>
    <w:rsid w:val="005D059A"/>
    <w:rsid w:val="005D07C5"/>
    <w:rsid w:val="005D1F40"/>
    <w:rsid w:val="005D21B7"/>
    <w:rsid w:val="005D2DAD"/>
    <w:rsid w:val="005D3F1A"/>
    <w:rsid w:val="005D4302"/>
    <w:rsid w:val="005D5A20"/>
    <w:rsid w:val="005D786C"/>
    <w:rsid w:val="005E00E5"/>
    <w:rsid w:val="005E0148"/>
    <w:rsid w:val="005E049F"/>
    <w:rsid w:val="005E0BB6"/>
    <w:rsid w:val="005E262A"/>
    <w:rsid w:val="005E2D80"/>
    <w:rsid w:val="005E3073"/>
    <w:rsid w:val="005E316A"/>
    <w:rsid w:val="005E462A"/>
    <w:rsid w:val="005E47EC"/>
    <w:rsid w:val="005E5CCD"/>
    <w:rsid w:val="005E7088"/>
    <w:rsid w:val="005E7E1B"/>
    <w:rsid w:val="005F0108"/>
    <w:rsid w:val="005F0291"/>
    <w:rsid w:val="005F0ECC"/>
    <w:rsid w:val="005F21A5"/>
    <w:rsid w:val="005F2470"/>
    <w:rsid w:val="005F28C6"/>
    <w:rsid w:val="005F2A17"/>
    <w:rsid w:val="005F3F08"/>
    <w:rsid w:val="005F3F16"/>
    <w:rsid w:val="005F502E"/>
    <w:rsid w:val="005F52CC"/>
    <w:rsid w:val="005F5D7C"/>
    <w:rsid w:val="005F5E6F"/>
    <w:rsid w:val="005F681C"/>
    <w:rsid w:val="005F68D3"/>
    <w:rsid w:val="005F6BD4"/>
    <w:rsid w:val="005F7188"/>
    <w:rsid w:val="005F759A"/>
    <w:rsid w:val="005F7985"/>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11C"/>
    <w:rsid w:val="0061176E"/>
    <w:rsid w:val="0061215A"/>
    <w:rsid w:val="0061370C"/>
    <w:rsid w:val="00613E97"/>
    <w:rsid w:val="00613EA5"/>
    <w:rsid w:val="00614CD1"/>
    <w:rsid w:val="00614FE3"/>
    <w:rsid w:val="006150C7"/>
    <w:rsid w:val="006151F2"/>
    <w:rsid w:val="0061567B"/>
    <w:rsid w:val="00615AC8"/>
    <w:rsid w:val="0062005F"/>
    <w:rsid w:val="0062152A"/>
    <w:rsid w:val="00623583"/>
    <w:rsid w:val="0062462F"/>
    <w:rsid w:val="00624BA1"/>
    <w:rsid w:val="0062576D"/>
    <w:rsid w:val="0062661B"/>
    <w:rsid w:val="00627832"/>
    <w:rsid w:val="00630118"/>
    <w:rsid w:val="00630514"/>
    <w:rsid w:val="006306AD"/>
    <w:rsid w:val="006310AE"/>
    <w:rsid w:val="00631762"/>
    <w:rsid w:val="00631FEE"/>
    <w:rsid w:val="00632196"/>
    <w:rsid w:val="00632BA2"/>
    <w:rsid w:val="00632F3C"/>
    <w:rsid w:val="00633BF2"/>
    <w:rsid w:val="00633F67"/>
    <w:rsid w:val="006345C3"/>
    <w:rsid w:val="0063530F"/>
    <w:rsid w:val="006362F9"/>
    <w:rsid w:val="006369A9"/>
    <w:rsid w:val="006373CD"/>
    <w:rsid w:val="006374D3"/>
    <w:rsid w:val="00637A1A"/>
    <w:rsid w:val="00637C12"/>
    <w:rsid w:val="00641283"/>
    <w:rsid w:val="006413CF"/>
    <w:rsid w:val="00641413"/>
    <w:rsid w:val="00641465"/>
    <w:rsid w:val="0064165D"/>
    <w:rsid w:val="00641933"/>
    <w:rsid w:val="00642E8C"/>
    <w:rsid w:val="006433BD"/>
    <w:rsid w:val="00643554"/>
    <w:rsid w:val="00643562"/>
    <w:rsid w:val="00643784"/>
    <w:rsid w:val="00643C73"/>
    <w:rsid w:val="00644186"/>
    <w:rsid w:val="00644A21"/>
    <w:rsid w:val="00645C9F"/>
    <w:rsid w:val="00646305"/>
    <w:rsid w:val="00646864"/>
    <w:rsid w:val="00646A6C"/>
    <w:rsid w:val="00646B52"/>
    <w:rsid w:val="006475E6"/>
    <w:rsid w:val="0065062B"/>
    <w:rsid w:val="006508B9"/>
    <w:rsid w:val="00650CA1"/>
    <w:rsid w:val="0065143C"/>
    <w:rsid w:val="00651854"/>
    <w:rsid w:val="00651991"/>
    <w:rsid w:val="00652578"/>
    <w:rsid w:val="00653885"/>
    <w:rsid w:val="006539E8"/>
    <w:rsid w:val="00656307"/>
    <w:rsid w:val="006565D8"/>
    <w:rsid w:val="00656B96"/>
    <w:rsid w:val="00656F79"/>
    <w:rsid w:val="0065736B"/>
    <w:rsid w:val="006578E4"/>
    <w:rsid w:val="00657AE5"/>
    <w:rsid w:val="0066039D"/>
    <w:rsid w:val="00660574"/>
    <w:rsid w:val="006619B0"/>
    <w:rsid w:val="00662012"/>
    <w:rsid w:val="00662543"/>
    <w:rsid w:val="006626D0"/>
    <w:rsid w:val="006628E9"/>
    <w:rsid w:val="00662D91"/>
    <w:rsid w:val="0066340C"/>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3C3"/>
    <w:rsid w:val="006859DB"/>
    <w:rsid w:val="0068678D"/>
    <w:rsid w:val="006872DC"/>
    <w:rsid w:val="00687488"/>
    <w:rsid w:val="006904ED"/>
    <w:rsid w:val="00690E2E"/>
    <w:rsid w:val="006915D7"/>
    <w:rsid w:val="00692814"/>
    <w:rsid w:val="006932E7"/>
    <w:rsid w:val="00693347"/>
    <w:rsid w:val="0069334C"/>
    <w:rsid w:val="006934D5"/>
    <w:rsid w:val="006952DD"/>
    <w:rsid w:val="00696CB3"/>
    <w:rsid w:val="00696D63"/>
    <w:rsid w:val="006977DD"/>
    <w:rsid w:val="006A032F"/>
    <w:rsid w:val="006A0763"/>
    <w:rsid w:val="006A0818"/>
    <w:rsid w:val="006A0BD9"/>
    <w:rsid w:val="006A0DD3"/>
    <w:rsid w:val="006A146E"/>
    <w:rsid w:val="006A1BEB"/>
    <w:rsid w:val="006A2B6E"/>
    <w:rsid w:val="006A3022"/>
    <w:rsid w:val="006A41AE"/>
    <w:rsid w:val="006A4856"/>
    <w:rsid w:val="006A5474"/>
    <w:rsid w:val="006A564B"/>
    <w:rsid w:val="006A573C"/>
    <w:rsid w:val="006A6BC8"/>
    <w:rsid w:val="006B05B5"/>
    <w:rsid w:val="006B0709"/>
    <w:rsid w:val="006B1545"/>
    <w:rsid w:val="006B1B2A"/>
    <w:rsid w:val="006B23B9"/>
    <w:rsid w:val="006B2DA7"/>
    <w:rsid w:val="006B2F4D"/>
    <w:rsid w:val="006B306B"/>
    <w:rsid w:val="006B3682"/>
    <w:rsid w:val="006B3974"/>
    <w:rsid w:val="006B48CB"/>
    <w:rsid w:val="006B4B3E"/>
    <w:rsid w:val="006B564D"/>
    <w:rsid w:val="006B70E8"/>
    <w:rsid w:val="006B7757"/>
    <w:rsid w:val="006C1445"/>
    <w:rsid w:val="006C314C"/>
    <w:rsid w:val="006C3AB0"/>
    <w:rsid w:val="006C4F54"/>
    <w:rsid w:val="006C4FC1"/>
    <w:rsid w:val="006C51A5"/>
    <w:rsid w:val="006C529D"/>
    <w:rsid w:val="006C52F5"/>
    <w:rsid w:val="006C53D0"/>
    <w:rsid w:val="006C54AB"/>
    <w:rsid w:val="006C5677"/>
    <w:rsid w:val="006C6798"/>
    <w:rsid w:val="006C6DF7"/>
    <w:rsid w:val="006D0C12"/>
    <w:rsid w:val="006D0E6B"/>
    <w:rsid w:val="006D2146"/>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E6C1B"/>
    <w:rsid w:val="006F0BDE"/>
    <w:rsid w:val="006F1116"/>
    <w:rsid w:val="006F218C"/>
    <w:rsid w:val="006F2654"/>
    <w:rsid w:val="006F2B96"/>
    <w:rsid w:val="006F3196"/>
    <w:rsid w:val="006F3C54"/>
    <w:rsid w:val="006F418C"/>
    <w:rsid w:val="006F48E3"/>
    <w:rsid w:val="006F4F39"/>
    <w:rsid w:val="006F5E64"/>
    <w:rsid w:val="006F5FC1"/>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0D55"/>
    <w:rsid w:val="0071118B"/>
    <w:rsid w:val="00711C66"/>
    <w:rsid w:val="00711E13"/>
    <w:rsid w:val="00712799"/>
    <w:rsid w:val="00712EDA"/>
    <w:rsid w:val="007136D0"/>
    <w:rsid w:val="00714DFA"/>
    <w:rsid w:val="00715166"/>
    <w:rsid w:val="007155A9"/>
    <w:rsid w:val="007158E1"/>
    <w:rsid w:val="00715B77"/>
    <w:rsid w:val="00715DBA"/>
    <w:rsid w:val="00716716"/>
    <w:rsid w:val="00716AA6"/>
    <w:rsid w:val="0071705B"/>
    <w:rsid w:val="007178C3"/>
    <w:rsid w:val="00717988"/>
    <w:rsid w:val="00720505"/>
    <w:rsid w:val="0072067B"/>
    <w:rsid w:val="00720CCC"/>
    <w:rsid w:val="007224D0"/>
    <w:rsid w:val="007236A3"/>
    <w:rsid w:val="007239B6"/>
    <w:rsid w:val="00723A62"/>
    <w:rsid w:val="00723BF3"/>
    <w:rsid w:val="007240E1"/>
    <w:rsid w:val="0072490A"/>
    <w:rsid w:val="00724B64"/>
    <w:rsid w:val="0072517D"/>
    <w:rsid w:val="007259F5"/>
    <w:rsid w:val="00726878"/>
    <w:rsid w:val="007268AE"/>
    <w:rsid w:val="0073124A"/>
    <w:rsid w:val="00731B79"/>
    <w:rsid w:val="00731B9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076"/>
    <w:rsid w:val="00753454"/>
    <w:rsid w:val="00753BB5"/>
    <w:rsid w:val="007544F1"/>
    <w:rsid w:val="00755E4A"/>
    <w:rsid w:val="00756832"/>
    <w:rsid w:val="00756B44"/>
    <w:rsid w:val="00757F0B"/>
    <w:rsid w:val="007626D0"/>
    <w:rsid w:val="007637BF"/>
    <w:rsid w:val="0076439F"/>
    <w:rsid w:val="007651CA"/>
    <w:rsid w:val="00767519"/>
    <w:rsid w:val="00767C14"/>
    <w:rsid w:val="007701CC"/>
    <w:rsid w:val="00770374"/>
    <w:rsid w:val="007704E1"/>
    <w:rsid w:val="00770E5C"/>
    <w:rsid w:val="00772569"/>
    <w:rsid w:val="00772E2E"/>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38EF"/>
    <w:rsid w:val="00784190"/>
    <w:rsid w:val="0078457B"/>
    <w:rsid w:val="00784756"/>
    <w:rsid w:val="00784FE7"/>
    <w:rsid w:val="0078539D"/>
    <w:rsid w:val="007856C1"/>
    <w:rsid w:val="00785B0F"/>
    <w:rsid w:val="00787051"/>
    <w:rsid w:val="00787536"/>
    <w:rsid w:val="0079018D"/>
    <w:rsid w:val="007901DC"/>
    <w:rsid w:val="00791A00"/>
    <w:rsid w:val="00791DDB"/>
    <w:rsid w:val="00792CEE"/>
    <w:rsid w:val="007936A8"/>
    <w:rsid w:val="007962B4"/>
    <w:rsid w:val="00796F15"/>
    <w:rsid w:val="00797AA9"/>
    <w:rsid w:val="00797E22"/>
    <w:rsid w:val="007A071E"/>
    <w:rsid w:val="007A138F"/>
    <w:rsid w:val="007A1640"/>
    <w:rsid w:val="007A16A3"/>
    <w:rsid w:val="007A1AE4"/>
    <w:rsid w:val="007A39DF"/>
    <w:rsid w:val="007A3B29"/>
    <w:rsid w:val="007A43ED"/>
    <w:rsid w:val="007A4BDD"/>
    <w:rsid w:val="007A4E10"/>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3E01"/>
    <w:rsid w:val="007C4B0F"/>
    <w:rsid w:val="007C4DAD"/>
    <w:rsid w:val="007C5830"/>
    <w:rsid w:val="007C599E"/>
    <w:rsid w:val="007C5DB8"/>
    <w:rsid w:val="007C5DCE"/>
    <w:rsid w:val="007C6CA2"/>
    <w:rsid w:val="007C6D27"/>
    <w:rsid w:val="007D05B2"/>
    <w:rsid w:val="007D05FA"/>
    <w:rsid w:val="007D0C0B"/>
    <w:rsid w:val="007D0C44"/>
    <w:rsid w:val="007D1972"/>
    <w:rsid w:val="007D1F33"/>
    <w:rsid w:val="007D3307"/>
    <w:rsid w:val="007D54F8"/>
    <w:rsid w:val="007D5E27"/>
    <w:rsid w:val="007D6F64"/>
    <w:rsid w:val="007E1782"/>
    <w:rsid w:val="007E239A"/>
    <w:rsid w:val="007E25AB"/>
    <w:rsid w:val="007E2F41"/>
    <w:rsid w:val="007E3C4D"/>
    <w:rsid w:val="007E44FC"/>
    <w:rsid w:val="007E5AC2"/>
    <w:rsid w:val="007E6DFA"/>
    <w:rsid w:val="007E79C5"/>
    <w:rsid w:val="007F0E58"/>
    <w:rsid w:val="007F2845"/>
    <w:rsid w:val="007F2A69"/>
    <w:rsid w:val="007F38A2"/>
    <w:rsid w:val="007F43BC"/>
    <w:rsid w:val="007F4740"/>
    <w:rsid w:val="008006C6"/>
    <w:rsid w:val="00800C52"/>
    <w:rsid w:val="0080153E"/>
    <w:rsid w:val="00801846"/>
    <w:rsid w:val="008018C8"/>
    <w:rsid w:val="0080263A"/>
    <w:rsid w:val="0080329D"/>
    <w:rsid w:val="00803B47"/>
    <w:rsid w:val="008055A9"/>
    <w:rsid w:val="008055C4"/>
    <w:rsid w:val="00806B71"/>
    <w:rsid w:val="0080742D"/>
    <w:rsid w:val="008100AC"/>
    <w:rsid w:val="0081074F"/>
    <w:rsid w:val="00810C05"/>
    <w:rsid w:val="0081151E"/>
    <w:rsid w:val="00812498"/>
    <w:rsid w:val="008127E6"/>
    <w:rsid w:val="0081336E"/>
    <w:rsid w:val="008133E9"/>
    <w:rsid w:val="00813928"/>
    <w:rsid w:val="00813F1C"/>
    <w:rsid w:val="00814A71"/>
    <w:rsid w:val="008154EC"/>
    <w:rsid w:val="008165E5"/>
    <w:rsid w:val="0081DC6C"/>
    <w:rsid w:val="00820DC7"/>
    <w:rsid w:val="00820FFB"/>
    <w:rsid w:val="008211FD"/>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9F"/>
    <w:rsid w:val="008307ED"/>
    <w:rsid w:val="00830B3B"/>
    <w:rsid w:val="0083350F"/>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481C"/>
    <w:rsid w:val="00846114"/>
    <w:rsid w:val="00846292"/>
    <w:rsid w:val="0084714C"/>
    <w:rsid w:val="008506E1"/>
    <w:rsid w:val="00850D15"/>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9FB"/>
    <w:rsid w:val="0086709D"/>
    <w:rsid w:val="00867651"/>
    <w:rsid w:val="00867B5A"/>
    <w:rsid w:val="0087036D"/>
    <w:rsid w:val="00874009"/>
    <w:rsid w:val="00874158"/>
    <w:rsid w:val="008743D9"/>
    <w:rsid w:val="008743F3"/>
    <w:rsid w:val="0087444A"/>
    <w:rsid w:val="00874458"/>
    <w:rsid w:val="00875139"/>
    <w:rsid w:val="00875410"/>
    <w:rsid w:val="00877DA5"/>
    <w:rsid w:val="00880EDF"/>
    <w:rsid w:val="008811FD"/>
    <w:rsid w:val="00882DE6"/>
    <w:rsid w:val="00883A20"/>
    <w:rsid w:val="00883D4D"/>
    <w:rsid w:val="00884B59"/>
    <w:rsid w:val="008850BA"/>
    <w:rsid w:val="00885580"/>
    <w:rsid w:val="00885876"/>
    <w:rsid w:val="00886185"/>
    <w:rsid w:val="008861D9"/>
    <w:rsid w:val="0088638C"/>
    <w:rsid w:val="00886EDF"/>
    <w:rsid w:val="00887042"/>
    <w:rsid w:val="00887989"/>
    <w:rsid w:val="00887F37"/>
    <w:rsid w:val="00887FDD"/>
    <w:rsid w:val="008908E5"/>
    <w:rsid w:val="00891216"/>
    <w:rsid w:val="00891D6D"/>
    <w:rsid w:val="008922AA"/>
    <w:rsid w:val="008925E9"/>
    <w:rsid w:val="00892A97"/>
    <w:rsid w:val="00893DCF"/>
    <w:rsid w:val="00894B58"/>
    <w:rsid w:val="00894FDC"/>
    <w:rsid w:val="008957D3"/>
    <w:rsid w:val="00896414"/>
    <w:rsid w:val="0089716F"/>
    <w:rsid w:val="0089793E"/>
    <w:rsid w:val="00897C71"/>
    <w:rsid w:val="008A0F54"/>
    <w:rsid w:val="008A16F9"/>
    <w:rsid w:val="008A170F"/>
    <w:rsid w:val="008A1D3E"/>
    <w:rsid w:val="008A3038"/>
    <w:rsid w:val="008A4B16"/>
    <w:rsid w:val="008A4D63"/>
    <w:rsid w:val="008A4E11"/>
    <w:rsid w:val="008A6D62"/>
    <w:rsid w:val="008B13E9"/>
    <w:rsid w:val="008B1A56"/>
    <w:rsid w:val="008B1EB5"/>
    <w:rsid w:val="008B2257"/>
    <w:rsid w:val="008B2436"/>
    <w:rsid w:val="008B3B51"/>
    <w:rsid w:val="008B4057"/>
    <w:rsid w:val="008B4145"/>
    <w:rsid w:val="008B497C"/>
    <w:rsid w:val="008B4987"/>
    <w:rsid w:val="008B5071"/>
    <w:rsid w:val="008B5290"/>
    <w:rsid w:val="008B56B6"/>
    <w:rsid w:val="008B678B"/>
    <w:rsid w:val="008B6A40"/>
    <w:rsid w:val="008B72EC"/>
    <w:rsid w:val="008C0C80"/>
    <w:rsid w:val="008C243F"/>
    <w:rsid w:val="008C25E5"/>
    <w:rsid w:val="008C2CFD"/>
    <w:rsid w:val="008C3741"/>
    <w:rsid w:val="008C3FDC"/>
    <w:rsid w:val="008C47AD"/>
    <w:rsid w:val="008C4ED6"/>
    <w:rsid w:val="008C5160"/>
    <w:rsid w:val="008C5CAE"/>
    <w:rsid w:val="008C5F46"/>
    <w:rsid w:val="008C603A"/>
    <w:rsid w:val="008C71C8"/>
    <w:rsid w:val="008C72CE"/>
    <w:rsid w:val="008D167D"/>
    <w:rsid w:val="008D2D5A"/>
    <w:rsid w:val="008D3116"/>
    <w:rsid w:val="008D470E"/>
    <w:rsid w:val="008D492A"/>
    <w:rsid w:val="008D4B58"/>
    <w:rsid w:val="008D4B7F"/>
    <w:rsid w:val="008D4B8A"/>
    <w:rsid w:val="008D52EA"/>
    <w:rsid w:val="008D612E"/>
    <w:rsid w:val="008D6541"/>
    <w:rsid w:val="008D67D2"/>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3F5"/>
    <w:rsid w:val="008E7CC2"/>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AAF"/>
    <w:rsid w:val="00905C47"/>
    <w:rsid w:val="00906379"/>
    <w:rsid w:val="00906A8C"/>
    <w:rsid w:val="009101EA"/>
    <w:rsid w:val="009106FC"/>
    <w:rsid w:val="00910867"/>
    <w:rsid w:val="009118BB"/>
    <w:rsid w:val="0091191F"/>
    <w:rsid w:val="00911E7D"/>
    <w:rsid w:val="009120A9"/>
    <w:rsid w:val="009134C3"/>
    <w:rsid w:val="009149B1"/>
    <w:rsid w:val="00915453"/>
    <w:rsid w:val="00915B81"/>
    <w:rsid w:val="00915D6B"/>
    <w:rsid w:val="009160DF"/>
    <w:rsid w:val="009162C7"/>
    <w:rsid w:val="0091675C"/>
    <w:rsid w:val="00916EC2"/>
    <w:rsid w:val="0092036E"/>
    <w:rsid w:val="009213BD"/>
    <w:rsid w:val="009230A6"/>
    <w:rsid w:val="00923704"/>
    <w:rsid w:val="00923C61"/>
    <w:rsid w:val="00924627"/>
    <w:rsid w:val="009250A8"/>
    <w:rsid w:val="0092566D"/>
    <w:rsid w:val="00925BE6"/>
    <w:rsid w:val="00926697"/>
    <w:rsid w:val="00926F61"/>
    <w:rsid w:val="00926FA9"/>
    <w:rsid w:val="00930ABA"/>
    <w:rsid w:val="0093123D"/>
    <w:rsid w:val="00933040"/>
    <w:rsid w:val="009330E9"/>
    <w:rsid w:val="009331B6"/>
    <w:rsid w:val="0093456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5DD0"/>
    <w:rsid w:val="0094604D"/>
    <w:rsid w:val="00946C4D"/>
    <w:rsid w:val="0095019A"/>
    <w:rsid w:val="00951453"/>
    <w:rsid w:val="0095285B"/>
    <w:rsid w:val="0095397E"/>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4966"/>
    <w:rsid w:val="00965970"/>
    <w:rsid w:val="00965C40"/>
    <w:rsid w:val="009666F0"/>
    <w:rsid w:val="00967354"/>
    <w:rsid w:val="00967F99"/>
    <w:rsid w:val="00970D1F"/>
    <w:rsid w:val="009713BF"/>
    <w:rsid w:val="00971592"/>
    <w:rsid w:val="00971617"/>
    <w:rsid w:val="00971DDF"/>
    <w:rsid w:val="0097225C"/>
    <w:rsid w:val="009731D6"/>
    <w:rsid w:val="00973AC0"/>
    <w:rsid w:val="00973F72"/>
    <w:rsid w:val="00973FC6"/>
    <w:rsid w:val="00974746"/>
    <w:rsid w:val="00974985"/>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3D2E"/>
    <w:rsid w:val="00996258"/>
    <w:rsid w:val="00996306"/>
    <w:rsid w:val="00996744"/>
    <w:rsid w:val="00997C35"/>
    <w:rsid w:val="00997CF4"/>
    <w:rsid w:val="009A05D5"/>
    <w:rsid w:val="009A0C5C"/>
    <w:rsid w:val="009A1169"/>
    <w:rsid w:val="009A164C"/>
    <w:rsid w:val="009A1AAC"/>
    <w:rsid w:val="009A271A"/>
    <w:rsid w:val="009A27C4"/>
    <w:rsid w:val="009A2BB6"/>
    <w:rsid w:val="009A2CB8"/>
    <w:rsid w:val="009A3789"/>
    <w:rsid w:val="009A39E6"/>
    <w:rsid w:val="009A3AEA"/>
    <w:rsid w:val="009A45A2"/>
    <w:rsid w:val="009A62C2"/>
    <w:rsid w:val="009A68EC"/>
    <w:rsid w:val="009A690E"/>
    <w:rsid w:val="009A6919"/>
    <w:rsid w:val="009A6AC7"/>
    <w:rsid w:val="009B0408"/>
    <w:rsid w:val="009B0843"/>
    <w:rsid w:val="009B0AC5"/>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4EC"/>
    <w:rsid w:val="009D4600"/>
    <w:rsid w:val="009D4F88"/>
    <w:rsid w:val="009D5193"/>
    <w:rsid w:val="009D5C32"/>
    <w:rsid w:val="009D5C56"/>
    <w:rsid w:val="009D62C1"/>
    <w:rsid w:val="009D6472"/>
    <w:rsid w:val="009D79F4"/>
    <w:rsid w:val="009D7D19"/>
    <w:rsid w:val="009E126D"/>
    <w:rsid w:val="009E33D7"/>
    <w:rsid w:val="009E3CD1"/>
    <w:rsid w:val="009E3DE2"/>
    <w:rsid w:val="009E5520"/>
    <w:rsid w:val="009E5AF5"/>
    <w:rsid w:val="009E5EB5"/>
    <w:rsid w:val="009E74F0"/>
    <w:rsid w:val="009F0768"/>
    <w:rsid w:val="009F102A"/>
    <w:rsid w:val="009F151C"/>
    <w:rsid w:val="009F1E38"/>
    <w:rsid w:val="009F2A19"/>
    <w:rsid w:val="009F514E"/>
    <w:rsid w:val="009F7867"/>
    <w:rsid w:val="009F7D66"/>
    <w:rsid w:val="00A006E6"/>
    <w:rsid w:val="00A00BD2"/>
    <w:rsid w:val="00A00E56"/>
    <w:rsid w:val="00A027F3"/>
    <w:rsid w:val="00A034A7"/>
    <w:rsid w:val="00A03978"/>
    <w:rsid w:val="00A03AB1"/>
    <w:rsid w:val="00A04037"/>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672F"/>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18AD"/>
    <w:rsid w:val="00A42A85"/>
    <w:rsid w:val="00A42D07"/>
    <w:rsid w:val="00A42F27"/>
    <w:rsid w:val="00A43322"/>
    <w:rsid w:val="00A4408A"/>
    <w:rsid w:val="00A44B43"/>
    <w:rsid w:val="00A4503E"/>
    <w:rsid w:val="00A450C0"/>
    <w:rsid w:val="00A45446"/>
    <w:rsid w:val="00A45468"/>
    <w:rsid w:val="00A471A8"/>
    <w:rsid w:val="00A4791B"/>
    <w:rsid w:val="00A500BE"/>
    <w:rsid w:val="00A50A48"/>
    <w:rsid w:val="00A51180"/>
    <w:rsid w:val="00A51242"/>
    <w:rsid w:val="00A51522"/>
    <w:rsid w:val="00A51573"/>
    <w:rsid w:val="00A51A5E"/>
    <w:rsid w:val="00A52276"/>
    <w:rsid w:val="00A52895"/>
    <w:rsid w:val="00A52D7D"/>
    <w:rsid w:val="00A531E2"/>
    <w:rsid w:val="00A5342D"/>
    <w:rsid w:val="00A539A5"/>
    <w:rsid w:val="00A53DA0"/>
    <w:rsid w:val="00A5404D"/>
    <w:rsid w:val="00A555A7"/>
    <w:rsid w:val="00A555FB"/>
    <w:rsid w:val="00A5765D"/>
    <w:rsid w:val="00A579BD"/>
    <w:rsid w:val="00A607CB"/>
    <w:rsid w:val="00A6103A"/>
    <w:rsid w:val="00A61B8D"/>
    <w:rsid w:val="00A62476"/>
    <w:rsid w:val="00A6351F"/>
    <w:rsid w:val="00A63809"/>
    <w:rsid w:val="00A63B38"/>
    <w:rsid w:val="00A64278"/>
    <w:rsid w:val="00A649C7"/>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3A"/>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315"/>
    <w:rsid w:val="00A938E6"/>
    <w:rsid w:val="00A93CCF"/>
    <w:rsid w:val="00A94689"/>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13"/>
    <w:rsid w:val="00AA66CB"/>
    <w:rsid w:val="00AA67B4"/>
    <w:rsid w:val="00AB0A32"/>
    <w:rsid w:val="00AB0B90"/>
    <w:rsid w:val="00AB0E56"/>
    <w:rsid w:val="00AB0ED5"/>
    <w:rsid w:val="00AB18AC"/>
    <w:rsid w:val="00AB1953"/>
    <w:rsid w:val="00AB1EB7"/>
    <w:rsid w:val="00AB3A15"/>
    <w:rsid w:val="00AB3F63"/>
    <w:rsid w:val="00AB4ECC"/>
    <w:rsid w:val="00AB4F0F"/>
    <w:rsid w:val="00AB53E3"/>
    <w:rsid w:val="00AB60E2"/>
    <w:rsid w:val="00AB6601"/>
    <w:rsid w:val="00AB674E"/>
    <w:rsid w:val="00AB6D79"/>
    <w:rsid w:val="00AB6FCA"/>
    <w:rsid w:val="00AB709E"/>
    <w:rsid w:val="00AB7806"/>
    <w:rsid w:val="00AC01BC"/>
    <w:rsid w:val="00AC02C1"/>
    <w:rsid w:val="00AC0AB6"/>
    <w:rsid w:val="00AC0FCB"/>
    <w:rsid w:val="00AC10AD"/>
    <w:rsid w:val="00AC15FF"/>
    <w:rsid w:val="00AC174E"/>
    <w:rsid w:val="00AC1E55"/>
    <w:rsid w:val="00AC3D06"/>
    <w:rsid w:val="00AC429F"/>
    <w:rsid w:val="00AC58FC"/>
    <w:rsid w:val="00AC5CD2"/>
    <w:rsid w:val="00AC60B4"/>
    <w:rsid w:val="00AC67B6"/>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0133"/>
    <w:rsid w:val="00AE2BED"/>
    <w:rsid w:val="00AE3D34"/>
    <w:rsid w:val="00AE3DE1"/>
    <w:rsid w:val="00AE50F5"/>
    <w:rsid w:val="00AE5439"/>
    <w:rsid w:val="00AE61B2"/>
    <w:rsid w:val="00AE6789"/>
    <w:rsid w:val="00AE6F2B"/>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0570"/>
    <w:rsid w:val="00B00F7F"/>
    <w:rsid w:val="00B011CC"/>
    <w:rsid w:val="00B01A6C"/>
    <w:rsid w:val="00B02D23"/>
    <w:rsid w:val="00B04048"/>
    <w:rsid w:val="00B04F3D"/>
    <w:rsid w:val="00B05702"/>
    <w:rsid w:val="00B06DD9"/>
    <w:rsid w:val="00B0732C"/>
    <w:rsid w:val="00B07CAC"/>
    <w:rsid w:val="00B07CD6"/>
    <w:rsid w:val="00B07E52"/>
    <w:rsid w:val="00B10010"/>
    <w:rsid w:val="00B11775"/>
    <w:rsid w:val="00B11C85"/>
    <w:rsid w:val="00B12F75"/>
    <w:rsid w:val="00B1302D"/>
    <w:rsid w:val="00B1513F"/>
    <w:rsid w:val="00B15733"/>
    <w:rsid w:val="00B15B89"/>
    <w:rsid w:val="00B1746F"/>
    <w:rsid w:val="00B20725"/>
    <w:rsid w:val="00B2087E"/>
    <w:rsid w:val="00B20B11"/>
    <w:rsid w:val="00B20B94"/>
    <w:rsid w:val="00B238E0"/>
    <w:rsid w:val="00B248D0"/>
    <w:rsid w:val="00B25F07"/>
    <w:rsid w:val="00B2628E"/>
    <w:rsid w:val="00B266B0"/>
    <w:rsid w:val="00B27921"/>
    <w:rsid w:val="00B3000E"/>
    <w:rsid w:val="00B30C62"/>
    <w:rsid w:val="00B326A8"/>
    <w:rsid w:val="00B329EB"/>
    <w:rsid w:val="00B32FCD"/>
    <w:rsid w:val="00B33508"/>
    <w:rsid w:val="00B33612"/>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4D06"/>
    <w:rsid w:val="00B45CE1"/>
    <w:rsid w:val="00B46A75"/>
    <w:rsid w:val="00B470A7"/>
    <w:rsid w:val="00B500CD"/>
    <w:rsid w:val="00B50676"/>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9A9"/>
    <w:rsid w:val="00B625CC"/>
    <w:rsid w:val="00B6298C"/>
    <w:rsid w:val="00B63337"/>
    <w:rsid w:val="00B6369F"/>
    <w:rsid w:val="00B639D7"/>
    <w:rsid w:val="00B64609"/>
    <w:rsid w:val="00B64AA7"/>
    <w:rsid w:val="00B65452"/>
    <w:rsid w:val="00B66594"/>
    <w:rsid w:val="00B66606"/>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197"/>
    <w:rsid w:val="00B85522"/>
    <w:rsid w:val="00B86CE3"/>
    <w:rsid w:val="00B90E2A"/>
    <w:rsid w:val="00B90F2A"/>
    <w:rsid w:val="00B9120F"/>
    <w:rsid w:val="00B9198D"/>
    <w:rsid w:val="00B92D25"/>
    <w:rsid w:val="00B93008"/>
    <w:rsid w:val="00B9406D"/>
    <w:rsid w:val="00B94BA7"/>
    <w:rsid w:val="00B94E0E"/>
    <w:rsid w:val="00B9562D"/>
    <w:rsid w:val="00B9581F"/>
    <w:rsid w:val="00B95DA8"/>
    <w:rsid w:val="00B96413"/>
    <w:rsid w:val="00B971B4"/>
    <w:rsid w:val="00B97CA3"/>
    <w:rsid w:val="00BA1872"/>
    <w:rsid w:val="00BA1913"/>
    <w:rsid w:val="00BA1D13"/>
    <w:rsid w:val="00BA2188"/>
    <w:rsid w:val="00BA2BC9"/>
    <w:rsid w:val="00BA371C"/>
    <w:rsid w:val="00BA4641"/>
    <w:rsid w:val="00BA4A54"/>
    <w:rsid w:val="00BA4E6C"/>
    <w:rsid w:val="00BA6EB7"/>
    <w:rsid w:val="00BA76A9"/>
    <w:rsid w:val="00BB0595"/>
    <w:rsid w:val="00BB0B74"/>
    <w:rsid w:val="00BB2F36"/>
    <w:rsid w:val="00BB3E2B"/>
    <w:rsid w:val="00BB5D1C"/>
    <w:rsid w:val="00BB6552"/>
    <w:rsid w:val="00BB65E0"/>
    <w:rsid w:val="00BB6B9B"/>
    <w:rsid w:val="00BB754F"/>
    <w:rsid w:val="00BC0058"/>
    <w:rsid w:val="00BC07D4"/>
    <w:rsid w:val="00BC0A28"/>
    <w:rsid w:val="00BC0A5D"/>
    <w:rsid w:val="00BC0BE3"/>
    <w:rsid w:val="00BC1AD9"/>
    <w:rsid w:val="00BC3257"/>
    <w:rsid w:val="00BC32E7"/>
    <w:rsid w:val="00BC3EF0"/>
    <w:rsid w:val="00BC4F81"/>
    <w:rsid w:val="00BC5670"/>
    <w:rsid w:val="00BC58B9"/>
    <w:rsid w:val="00BC6519"/>
    <w:rsid w:val="00BD019F"/>
    <w:rsid w:val="00BD10ED"/>
    <w:rsid w:val="00BD2F13"/>
    <w:rsid w:val="00BD3056"/>
    <w:rsid w:val="00BD3846"/>
    <w:rsid w:val="00BD3C6B"/>
    <w:rsid w:val="00BD3E68"/>
    <w:rsid w:val="00BD4E05"/>
    <w:rsid w:val="00BD52A2"/>
    <w:rsid w:val="00BD598A"/>
    <w:rsid w:val="00BD5C7A"/>
    <w:rsid w:val="00BD723F"/>
    <w:rsid w:val="00BD75B4"/>
    <w:rsid w:val="00BD789A"/>
    <w:rsid w:val="00BD7D14"/>
    <w:rsid w:val="00BE02B4"/>
    <w:rsid w:val="00BE2792"/>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56BB"/>
    <w:rsid w:val="00BF6252"/>
    <w:rsid w:val="00BF711C"/>
    <w:rsid w:val="00BF748E"/>
    <w:rsid w:val="00BF789B"/>
    <w:rsid w:val="00C03309"/>
    <w:rsid w:val="00C0377F"/>
    <w:rsid w:val="00C037E0"/>
    <w:rsid w:val="00C054CC"/>
    <w:rsid w:val="00C06B0B"/>
    <w:rsid w:val="00C06EDE"/>
    <w:rsid w:val="00C072FE"/>
    <w:rsid w:val="00C07F5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72E8"/>
    <w:rsid w:val="00C278B6"/>
    <w:rsid w:val="00C27C76"/>
    <w:rsid w:val="00C30742"/>
    <w:rsid w:val="00C30ABC"/>
    <w:rsid w:val="00C30B60"/>
    <w:rsid w:val="00C3185D"/>
    <w:rsid w:val="00C31FAA"/>
    <w:rsid w:val="00C33359"/>
    <w:rsid w:val="00C33E12"/>
    <w:rsid w:val="00C348D6"/>
    <w:rsid w:val="00C3504C"/>
    <w:rsid w:val="00C365E7"/>
    <w:rsid w:val="00C36E34"/>
    <w:rsid w:val="00C40388"/>
    <w:rsid w:val="00C404D7"/>
    <w:rsid w:val="00C404EE"/>
    <w:rsid w:val="00C4171B"/>
    <w:rsid w:val="00C41809"/>
    <w:rsid w:val="00C42689"/>
    <w:rsid w:val="00C42988"/>
    <w:rsid w:val="00C42BD4"/>
    <w:rsid w:val="00C43C60"/>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3F4F"/>
    <w:rsid w:val="00C54020"/>
    <w:rsid w:val="00C5406F"/>
    <w:rsid w:val="00C545C5"/>
    <w:rsid w:val="00C54817"/>
    <w:rsid w:val="00C54F35"/>
    <w:rsid w:val="00C553BC"/>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1B6A"/>
    <w:rsid w:val="00C7235B"/>
    <w:rsid w:val="00C72E18"/>
    <w:rsid w:val="00C731AD"/>
    <w:rsid w:val="00C7380B"/>
    <w:rsid w:val="00C73B74"/>
    <w:rsid w:val="00C74421"/>
    <w:rsid w:val="00C74B76"/>
    <w:rsid w:val="00C75B9B"/>
    <w:rsid w:val="00C75E2E"/>
    <w:rsid w:val="00C75F2F"/>
    <w:rsid w:val="00C75FEE"/>
    <w:rsid w:val="00C76F1D"/>
    <w:rsid w:val="00C77937"/>
    <w:rsid w:val="00C77CA4"/>
    <w:rsid w:val="00C77D26"/>
    <w:rsid w:val="00C80B90"/>
    <w:rsid w:val="00C80BDF"/>
    <w:rsid w:val="00C815DF"/>
    <w:rsid w:val="00C81819"/>
    <w:rsid w:val="00C81A44"/>
    <w:rsid w:val="00C82FEE"/>
    <w:rsid w:val="00C831D3"/>
    <w:rsid w:val="00C845D3"/>
    <w:rsid w:val="00C84D39"/>
    <w:rsid w:val="00C85277"/>
    <w:rsid w:val="00C85806"/>
    <w:rsid w:val="00C85D76"/>
    <w:rsid w:val="00C86B1D"/>
    <w:rsid w:val="00C86D69"/>
    <w:rsid w:val="00C8735C"/>
    <w:rsid w:val="00C873AC"/>
    <w:rsid w:val="00C873BD"/>
    <w:rsid w:val="00C87DA6"/>
    <w:rsid w:val="00C91857"/>
    <w:rsid w:val="00C9213B"/>
    <w:rsid w:val="00C92C5E"/>
    <w:rsid w:val="00C93462"/>
    <w:rsid w:val="00C94384"/>
    <w:rsid w:val="00C94997"/>
    <w:rsid w:val="00C94A34"/>
    <w:rsid w:val="00C94C2B"/>
    <w:rsid w:val="00C94F73"/>
    <w:rsid w:val="00C95609"/>
    <w:rsid w:val="00C96F79"/>
    <w:rsid w:val="00C97CF9"/>
    <w:rsid w:val="00CA17DD"/>
    <w:rsid w:val="00CA1863"/>
    <w:rsid w:val="00CA1941"/>
    <w:rsid w:val="00CA26CE"/>
    <w:rsid w:val="00CA391D"/>
    <w:rsid w:val="00CA3ACD"/>
    <w:rsid w:val="00CA499C"/>
    <w:rsid w:val="00CA4DE9"/>
    <w:rsid w:val="00CA4F8B"/>
    <w:rsid w:val="00CA5445"/>
    <w:rsid w:val="00CB09DA"/>
    <w:rsid w:val="00CB0BD9"/>
    <w:rsid w:val="00CB0D29"/>
    <w:rsid w:val="00CB17D0"/>
    <w:rsid w:val="00CB1CAC"/>
    <w:rsid w:val="00CB1DE8"/>
    <w:rsid w:val="00CB1E3B"/>
    <w:rsid w:val="00CB1F1D"/>
    <w:rsid w:val="00CB414B"/>
    <w:rsid w:val="00CB51A3"/>
    <w:rsid w:val="00CB6795"/>
    <w:rsid w:val="00CB71F8"/>
    <w:rsid w:val="00CC05A0"/>
    <w:rsid w:val="00CC06E1"/>
    <w:rsid w:val="00CC180A"/>
    <w:rsid w:val="00CC19F7"/>
    <w:rsid w:val="00CC1F61"/>
    <w:rsid w:val="00CC2085"/>
    <w:rsid w:val="00CC26DB"/>
    <w:rsid w:val="00CC300C"/>
    <w:rsid w:val="00CC354E"/>
    <w:rsid w:val="00CC35AE"/>
    <w:rsid w:val="00CC3DAA"/>
    <w:rsid w:val="00CC4C2C"/>
    <w:rsid w:val="00CC5057"/>
    <w:rsid w:val="00CC59A1"/>
    <w:rsid w:val="00CC767E"/>
    <w:rsid w:val="00CD078F"/>
    <w:rsid w:val="00CD0856"/>
    <w:rsid w:val="00CD0DF7"/>
    <w:rsid w:val="00CD121E"/>
    <w:rsid w:val="00CD185D"/>
    <w:rsid w:val="00CD24C1"/>
    <w:rsid w:val="00CD28F0"/>
    <w:rsid w:val="00CD2DE8"/>
    <w:rsid w:val="00CD3D28"/>
    <w:rsid w:val="00CD3ED8"/>
    <w:rsid w:val="00CD4001"/>
    <w:rsid w:val="00CD48AE"/>
    <w:rsid w:val="00CD497A"/>
    <w:rsid w:val="00CD761D"/>
    <w:rsid w:val="00CD76B5"/>
    <w:rsid w:val="00CD78B9"/>
    <w:rsid w:val="00CD7A75"/>
    <w:rsid w:val="00CE2161"/>
    <w:rsid w:val="00CE2323"/>
    <w:rsid w:val="00CE2346"/>
    <w:rsid w:val="00CE5EF6"/>
    <w:rsid w:val="00CE6F0F"/>
    <w:rsid w:val="00CE7235"/>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24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06F23"/>
    <w:rsid w:val="00D100B4"/>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3437"/>
    <w:rsid w:val="00D242DA"/>
    <w:rsid w:val="00D247EC"/>
    <w:rsid w:val="00D26448"/>
    <w:rsid w:val="00D264CE"/>
    <w:rsid w:val="00D26670"/>
    <w:rsid w:val="00D2670E"/>
    <w:rsid w:val="00D26910"/>
    <w:rsid w:val="00D275B6"/>
    <w:rsid w:val="00D27B8B"/>
    <w:rsid w:val="00D30CF0"/>
    <w:rsid w:val="00D30D37"/>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255"/>
    <w:rsid w:val="00D36964"/>
    <w:rsid w:val="00D37A1A"/>
    <w:rsid w:val="00D400D1"/>
    <w:rsid w:val="00D4081B"/>
    <w:rsid w:val="00D413C3"/>
    <w:rsid w:val="00D42240"/>
    <w:rsid w:val="00D427C3"/>
    <w:rsid w:val="00D42EB8"/>
    <w:rsid w:val="00D43D3C"/>
    <w:rsid w:val="00D43E0B"/>
    <w:rsid w:val="00D441E2"/>
    <w:rsid w:val="00D44374"/>
    <w:rsid w:val="00D44422"/>
    <w:rsid w:val="00D44932"/>
    <w:rsid w:val="00D44992"/>
    <w:rsid w:val="00D44B36"/>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0C0"/>
    <w:rsid w:val="00D53649"/>
    <w:rsid w:val="00D53830"/>
    <w:rsid w:val="00D545CA"/>
    <w:rsid w:val="00D54FB3"/>
    <w:rsid w:val="00D55889"/>
    <w:rsid w:val="00D56B5F"/>
    <w:rsid w:val="00D57A3F"/>
    <w:rsid w:val="00D57AF0"/>
    <w:rsid w:val="00D57DB5"/>
    <w:rsid w:val="00D60993"/>
    <w:rsid w:val="00D61815"/>
    <w:rsid w:val="00D627E3"/>
    <w:rsid w:val="00D62D9D"/>
    <w:rsid w:val="00D62ECD"/>
    <w:rsid w:val="00D64426"/>
    <w:rsid w:val="00D64475"/>
    <w:rsid w:val="00D64593"/>
    <w:rsid w:val="00D650E6"/>
    <w:rsid w:val="00D65D78"/>
    <w:rsid w:val="00D66B04"/>
    <w:rsid w:val="00D67BC5"/>
    <w:rsid w:val="00D7021B"/>
    <w:rsid w:val="00D70D33"/>
    <w:rsid w:val="00D71862"/>
    <w:rsid w:val="00D71E7F"/>
    <w:rsid w:val="00D71FBA"/>
    <w:rsid w:val="00D7239B"/>
    <w:rsid w:val="00D72B5D"/>
    <w:rsid w:val="00D73077"/>
    <w:rsid w:val="00D736A2"/>
    <w:rsid w:val="00D738C9"/>
    <w:rsid w:val="00D73C57"/>
    <w:rsid w:val="00D742FF"/>
    <w:rsid w:val="00D74FCF"/>
    <w:rsid w:val="00D758B3"/>
    <w:rsid w:val="00D76ADC"/>
    <w:rsid w:val="00D77413"/>
    <w:rsid w:val="00D77603"/>
    <w:rsid w:val="00D80B04"/>
    <w:rsid w:val="00D81305"/>
    <w:rsid w:val="00D81F10"/>
    <w:rsid w:val="00D82434"/>
    <w:rsid w:val="00D82798"/>
    <w:rsid w:val="00D82B94"/>
    <w:rsid w:val="00D82BF2"/>
    <w:rsid w:val="00D84A57"/>
    <w:rsid w:val="00D87307"/>
    <w:rsid w:val="00D874DF"/>
    <w:rsid w:val="00D87A12"/>
    <w:rsid w:val="00D9049F"/>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AD1"/>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530"/>
    <w:rsid w:val="00DB7B06"/>
    <w:rsid w:val="00DC02F1"/>
    <w:rsid w:val="00DC043D"/>
    <w:rsid w:val="00DC1F8E"/>
    <w:rsid w:val="00DC2610"/>
    <w:rsid w:val="00DC2793"/>
    <w:rsid w:val="00DC318A"/>
    <w:rsid w:val="00DC3A9D"/>
    <w:rsid w:val="00DC4004"/>
    <w:rsid w:val="00DC4243"/>
    <w:rsid w:val="00DC5584"/>
    <w:rsid w:val="00DC5B01"/>
    <w:rsid w:val="00DC679A"/>
    <w:rsid w:val="00DC6C1E"/>
    <w:rsid w:val="00DC6CE6"/>
    <w:rsid w:val="00DC7255"/>
    <w:rsid w:val="00DC72CE"/>
    <w:rsid w:val="00DC7581"/>
    <w:rsid w:val="00DC7951"/>
    <w:rsid w:val="00DD1C4B"/>
    <w:rsid w:val="00DD1F7B"/>
    <w:rsid w:val="00DD229E"/>
    <w:rsid w:val="00DD3029"/>
    <w:rsid w:val="00DD4F19"/>
    <w:rsid w:val="00DD55E0"/>
    <w:rsid w:val="00DD594A"/>
    <w:rsid w:val="00DE18A3"/>
    <w:rsid w:val="00DE1904"/>
    <w:rsid w:val="00DE1DAA"/>
    <w:rsid w:val="00DE3DBB"/>
    <w:rsid w:val="00DE43A2"/>
    <w:rsid w:val="00DE4A74"/>
    <w:rsid w:val="00DE4B05"/>
    <w:rsid w:val="00DE541C"/>
    <w:rsid w:val="00DE7075"/>
    <w:rsid w:val="00DE737B"/>
    <w:rsid w:val="00DE7D52"/>
    <w:rsid w:val="00DF084F"/>
    <w:rsid w:val="00DF100B"/>
    <w:rsid w:val="00DF11B7"/>
    <w:rsid w:val="00DF2AC2"/>
    <w:rsid w:val="00DF4359"/>
    <w:rsid w:val="00DF53AF"/>
    <w:rsid w:val="00DF679D"/>
    <w:rsid w:val="00DF70D4"/>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096A"/>
    <w:rsid w:val="00E11D7A"/>
    <w:rsid w:val="00E11EEB"/>
    <w:rsid w:val="00E12333"/>
    <w:rsid w:val="00E12607"/>
    <w:rsid w:val="00E128F2"/>
    <w:rsid w:val="00E12FBF"/>
    <w:rsid w:val="00E13E5A"/>
    <w:rsid w:val="00E13EE4"/>
    <w:rsid w:val="00E16463"/>
    <w:rsid w:val="00E1652F"/>
    <w:rsid w:val="00E16936"/>
    <w:rsid w:val="00E16F82"/>
    <w:rsid w:val="00E17F6F"/>
    <w:rsid w:val="00E20B20"/>
    <w:rsid w:val="00E23649"/>
    <w:rsid w:val="00E239D1"/>
    <w:rsid w:val="00E246B9"/>
    <w:rsid w:val="00E24913"/>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F76"/>
    <w:rsid w:val="00E35558"/>
    <w:rsid w:val="00E35BFF"/>
    <w:rsid w:val="00E36E99"/>
    <w:rsid w:val="00E37BE5"/>
    <w:rsid w:val="00E40963"/>
    <w:rsid w:val="00E40CE8"/>
    <w:rsid w:val="00E41A27"/>
    <w:rsid w:val="00E41AB4"/>
    <w:rsid w:val="00E42737"/>
    <w:rsid w:val="00E438E4"/>
    <w:rsid w:val="00E43A3D"/>
    <w:rsid w:val="00E43EF4"/>
    <w:rsid w:val="00E44906"/>
    <w:rsid w:val="00E44B32"/>
    <w:rsid w:val="00E45C77"/>
    <w:rsid w:val="00E4608B"/>
    <w:rsid w:val="00E46C5D"/>
    <w:rsid w:val="00E46D7F"/>
    <w:rsid w:val="00E46F66"/>
    <w:rsid w:val="00E501D3"/>
    <w:rsid w:val="00E50885"/>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7013A"/>
    <w:rsid w:val="00E7212F"/>
    <w:rsid w:val="00E72C6B"/>
    <w:rsid w:val="00E73920"/>
    <w:rsid w:val="00E7397B"/>
    <w:rsid w:val="00E73AB7"/>
    <w:rsid w:val="00E73C5E"/>
    <w:rsid w:val="00E74F5D"/>
    <w:rsid w:val="00E76034"/>
    <w:rsid w:val="00E77C9F"/>
    <w:rsid w:val="00E80440"/>
    <w:rsid w:val="00E817E0"/>
    <w:rsid w:val="00E82EE4"/>
    <w:rsid w:val="00E831E7"/>
    <w:rsid w:val="00E84150"/>
    <w:rsid w:val="00E843B5"/>
    <w:rsid w:val="00E84A3B"/>
    <w:rsid w:val="00E85307"/>
    <w:rsid w:val="00E8531D"/>
    <w:rsid w:val="00E85B0A"/>
    <w:rsid w:val="00E85B9F"/>
    <w:rsid w:val="00E86556"/>
    <w:rsid w:val="00E87742"/>
    <w:rsid w:val="00E907E4"/>
    <w:rsid w:val="00E90A24"/>
    <w:rsid w:val="00E90C34"/>
    <w:rsid w:val="00E919AC"/>
    <w:rsid w:val="00E93499"/>
    <w:rsid w:val="00E93CB3"/>
    <w:rsid w:val="00E946A6"/>
    <w:rsid w:val="00E947E4"/>
    <w:rsid w:val="00E9480A"/>
    <w:rsid w:val="00E956C4"/>
    <w:rsid w:val="00E9616B"/>
    <w:rsid w:val="00E96A29"/>
    <w:rsid w:val="00E96B28"/>
    <w:rsid w:val="00E96FE6"/>
    <w:rsid w:val="00E973A1"/>
    <w:rsid w:val="00EA1059"/>
    <w:rsid w:val="00EA15E4"/>
    <w:rsid w:val="00EA1D43"/>
    <w:rsid w:val="00EA4C04"/>
    <w:rsid w:val="00EA4C7F"/>
    <w:rsid w:val="00EA4EC9"/>
    <w:rsid w:val="00EA568E"/>
    <w:rsid w:val="00EA5E0F"/>
    <w:rsid w:val="00EA6ACC"/>
    <w:rsid w:val="00EA6F73"/>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9A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C11"/>
    <w:rsid w:val="00ED6D4A"/>
    <w:rsid w:val="00ED721A"/>
    <w:rsid w:val="00ED738C"/>
    <w:rsid w:val="00ED7918"/>
    <w:rsid w:val="00ED7FD3"/>
    <w:rsid w:val="00EE0B81"/>
    <w:rsid w:val="00EE0E5D"/>
    <w:rsid w:val="00EE11C2"/>
    <w:rsid w:val="00EE2A61"/>
    <w:rsid w:val="00EE33B0"/>
    <w:rsid w:val="00EE3663"/>
    <w:rsid w:val="00EE41C4"/>
    <w:rsid w:val="00EE56A9"/>
    <w:rsid w:val="00EE5A27"/>
    <w:rsid w:val="00EE5EBC"/>
    <w:rsid w:val="00EE62C5"/>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1E6B"/>
    <w:rsid w:val="00F0241C"/>
    <w:rsid w:val="00F031EE"/>
    <w:rsid w:val="00F04066"/>
    <w:rsid w:val="00F0465B"/>
    <w:rsid w:val="00F05759"/>
    <w:rsid w:val="00F064EC"/>
    <w:rsid w:val="00F06BF2"/>
    <w:rsid w:val="00F07F39"/>
    <w:rsid w:val="00F10CB9"/>
    <w:rsid w:val="00F110CD"/>
    <w:rsid w:val="00F110D5"/>
    <w:rsid w:val="00F12351"/>
    <w:rsid w:val="00F134C8"/>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5D9B"/>
    <w:rsid w:val="00F378F1"/>
    <w:rsid w:val="00F403A1"/>
    <w:rsid w:val="00F403DB"/>
    <w:rsid w:val="00F4065A"/>
    <w:rsid w:val="00F41BF1"/>
    <w:rsid w:val="00F4233E"/>
    <w:rsid w:val="00F4275C"/>
    <w:rsid w:val="00F431CF"/>
    <w:rsid w:val="00F434B2"/>
    <w:rsid w:val="00F44D7F"/>
    <w:rsid w:val="00F45693"/>
    <w:rsid w:val="00F52339"/>
    <w:rsid w:val="00F5277A"/>
    <w:rsid w:val="00F532E8"/>
    <w:rsid w:val="00F537FF"/>
    <w:rsid w:val="00F540F9"/>
    <w:rsid w:val="00F54E36"/>
    <w:rsid w:val="00F560FE"/>
    <w:rsid w:val="00F60CD6"/>
    <w:rsid w:val="00F6111C"/>
    <w:rsid w:val="00F614C0"/>
    <w:rsid w:val="00F61647"/>
    <w:rsid w:val="00F657CF"/>
    <w:rsid w:val="00F65808"/>
    <w:rsid w:val="00F6587D"/>
    <w:rsid w:val="00F66A00"/>
    <w:rsid w:val="00F66CFB"/>
    <w:rsid w:val="00F705C7"/>
    <w:rsid w:val="00F705CD"/>
    <w:rsid w:val="00F70988"/>
    <w:rsid w:val="00F70C73"/>
    <w:rsid w:val="00F713A3"/>
    <w:rsid w:val="00F71A8F"/>
    <w:rsid w:val="00F72331"/>
    <w:rsid w:val="00F750CA"/>
    <w:rsid w:val="00F75330"/>
    <w:rsid w:val="00F75B66"/>
    <w:rsid w:val="00F7639A"/>
    <w:rsid w:val="00F76A8B"/>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4D9"/>
    <w:rsid w:val="00F91DDA"/>
    <w:rsid w:val="00F930FD"/>
    <w:rsid w:val="00F93774"/>
    <w:rsid w:val="00F9397A"/>
    <w:rsid w:val="00F93A37"/>
    <w:rsid w:val="00F94182"/>
    <w:rsid w:val="00F9431F"/>
    <w:rsid w:val="00F944D9"/>
    <w:rsid w:val="00F94DB3"/>
    <w:rsid w:val="00F96500"/>
    <w:rsid w:val="00F972A4"/>
    <w:rsid w:val="00F975F4"/>
    <w:rsid w:val="00FA1A82"/>
    <w:rsid w:val="00FA1D89"/>
    <w:rsid w:val="00FA2302"/>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0E23"/>
    <w:rsid w:val="00FC2473"/>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35E"/>
    <w:rsid w:val="00FE14AD"/>
    <w:rsid w:val="00FE2398"/>
    <w:rsid w:val="00FE3770"/>
    <w:rsid w:val="00FE4C88"/>
    <w:rsid w:val="00FE515A"/>
    <w:rsid w:val="00FE5421"/>
    <w:rsid w:val="00FE5624"/>
    <w:rsid w:val="00FE5703"/>
    <w:rsid w:val="00FE5D2C"/>
    <w:rsid w:val="00FE5FBF"/>
    <w:rsid w:val="00FE6919"/>
    <w:rsid w:val="00FE6C25"/>
    <w:rsid w:val="00FE7CF9"/>
    <w:rsid w:val="00FE7F05"/>
    <w:rsid w:val="00FF033A"/>
    <w:rsid w:val="00FF0397"/>
    <w:rsid w:val="00FF0964"/>
    <w:rsid w:val="00FF0F67"/>
    <w:rsid w:val="00FF16F2"/>
    <w:rsid w:val="00FF1CC5"/>
    <w:rsid w:val="00FF1E55"/>
    <w:rsid w:val="00FF1F9B"/>
    <w:rsid w:val="00FF24E5"/>
    <w:rsid w:val="00FF2611"/>
    <w:rsid w:val="00FF2B42"/>
    <w:rsid w:val="00FF2D5B"/>
    <w:rsid w:val="00FF3588"/>
    <w:rsid w:val="00FF3B7F"/>
    <w:rsid w:val="00FF4F92"/>
    <w:rsid w:val="00FF5428"/>
    <w:rsid w:val="00FF54EB"/>
    <w:rsid w:val="00FF6822"/>
    <w:rsid w:val="00FF73D0"/>
    <w:rsid w:val="01AC2D60"/>
    <w:rsid w:val="01E6FF7C"/>
    <w:rsid w:val="026414D0"/>
    <w:rsid w:val="02F8B489"/>
    <w:rsid w:val="033DB610"/>
    <w:rsid w:val="03491455"/>
    <w:rsid w:val="0383E850"/>
    <w:rsid w:val="03A919D6"/>
    <w:rsid w:val="03FC7C8C"/>
    <w:rsid w:val="040A21AF"/>
    <w:rsid w:val="044D1831"/>
    <w:rsid w:val="050F1C72"/>
    <w:rsid w:val="0533F530"/>
    <w:rsid w:val="05A5C55C"/>
    <w:rsid w:val="05B5E4B5"/>
    <w:rsid w:val="05C6532D"/>
    <w:rsid w:val="05DE1F8D"/>
    <w:rsid w:val="05F75CE1"/>
    <w:rsid w:val="0606722E"/>
    <w:rsid w:val="06AC375E"/>
    <w:rsid w:val="06BA53E3"/>
    <w:rsid w:val="06C116FD"/>
    <w:rsid w:val="070064E9"/>
    <w:rsid w:val="0704BB2E"/>
    <w:rsid w:val="07B39E99"/>
    <w:rsid w:val="07BA243F"/>
    <w:rsid w:val="0811CB5E"/>
    <w:rsid w:val="08B9D15B"/>
    <w:rsid w:val="09086CC6"/>
    <w:rsid w:val="09115610"/>
    <w:rsid w:val="0912C6E4"/>
    <w:rsid w:val="0960B8B2"/>
    <w:rsid w:val="0997AD0E"/>
    <w:rsid w:val="09C0678C"/>
    <w:rsid w:val="0A531494"/>
    <w:rsid w:val="0A73DF2E"/>
    <w:rsid w:val="0AF4531A"/>
    <w:rsid w:val="0B4B3368"/>
    <w:rsid w:val="0B5B204D"/>
    <w:rsid w:val="0B7B0FD4"/>
    <w:rsid w:val="0BB4A1F0"/>
    <w:rsid w:val="0C177750"/>
    <w:rsid w:val="0C365EA4"/>
    <w:rsid w:val="0C7C81B0"/>
    <w:rsid w:val="0C8FD75C"/>
    <w:rsid w:val="0CAE9FF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1D7772A"/>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9C1424D"/>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6845964"/>
    <w:rsid w:val="2717C92B"/>
    <w:rsid w:val="277470CE"/>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3C08F2C"/>
    <w:rsid w:val="34187704"/>
    <w:rsid w:val="3464471D"/>
    <w:rsid w:val="346901B8"/>
    <w:rsid w:val="347638B0"/>
    <w:rsid w:val="34C3BA60"/>
    <w:rsid w:val="353DB619"/>
    <w:rsid w:val="36A9658B"/>
    <w:rsid w:val="3709947C"/>
    <w:rsid w:val="373FE3F4"/>
    <w:rsid w:val="374CBF32"/>
    <w:rsid w:val="37F6C771"/>
    <w:rsid w:val="38076F22"/>
    <w:rsid w:val="38407FA1"/>
    <w:rsid w:val="3847052D"/>
    <w:rsid w:val="38986477"/>
    <w:rsid w:val="38CC3EAB"/>
    <w:rsid w:val="38D4D231"/>
    <w:rsid w:val="391DAFB2"/>
    <w:rsid w:val="393143E0"/>
    <w:rsid w:val="3965F91B"/>
    <w:rsid w:val="3A0512BD"/>
    <w:rsid w:val="3A15E895"/>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03205D"/>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0E381E3"/>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0F3229"/>
    <w:rsid w:val="5722E883"/>
    <w:rsid w:val="5722FBAF"/>
    <w:rsid w:val="572C2CC7"/>
    <w:rsid w:val="574EC407"/>
    <w:rsid w:val="575F0682"/>
    <w:rsid w:val="576C7673"/>
    <w:rsid w:val="577ABB3F"/>
    <w:rsid w:val="578C81EA"/>
    <w:rsid w:val="578D3714"/>
    <w:rsid w:val="57C99A34"/>
    <w:rsid w:val="57CA79C6"/>
    <w:rsid w:val="57CC9581"/>
    <w:rsid w:val="57FB48B2"/>
    <w:rsid w:val="58188155"/>
    <w:rsid w:val="586BD7B6"/>
    <w:rsid w:val="58E50950"/>
    <w:rsid w:val="59236257"/>
    <w:rsid w:val="59268B70"/>
    <w:rsid w:val="598968BC"/>
    <w:rsid w:val="59DEB329"/>
    <w:rsid w:val="5A03ACBA"/>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EC5A1EF"/>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66413E"/>
    <w:rsid w:val="627F4588"/>
    <w:rsid w:val="62F76F3B"/>
    <w:rsid w:val="6322C879"/>
    <w:rsid w:val="6361E8DA"/>
    <w:rsid w:val="6383B2B3"/>
    <w:rsid w:val="642AF548"/>
    <w:rsid w:val="643933F5"/>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9F4E441"/>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686125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0E0293E"/>
  <w15:docId w15:val="{ED72CA27-DEB4-468C-9151-E8B1957A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2361714">
      <w:bodyDiv w:val="1"/>
      <w:marLeft w:val="0"/>
      <w:marRight w:val="0"/>
      <w:marTop w:val="0"/>
      <w:marBottom w:val="0"/>
      <w:divBdr>
        <w:top w:val="none" w:sz="0" w:space="0" w:color="auto"/>
        <w:left w:val="none" w:sz="0" w:space="0" w:color="auto"/>
        <w:bottom w:val="none" w:sz="0" w:space="0" w:color="auto"/>
        <w:right w:val="none" w:sz="0" w:space="0" w:color="auto"/>
      </w:divBdr>
      <w:divsChild>
        <w:div w:id="17047406">
          <w:marLeft w:val="547"/>
          <w:marRight w:val="0"/>
          <w:marTop w:val="0"/>
          <w:marBottom w:val="0"/>
          <w:divBdr>
            <w:top w:val="none" w:sz="0" w:space="0" w:color="auto"/>
            <w:left w:val="none" w:sz="0" w:space="0" w:color="auto"/>
            <w:bottom w:val="none" w:sz="0" w:space="0" w:color="auto"/>
            <w:right w:val="none" w:sz="0" w:space="0" w:color="auto"/>
          </w:divBdr>
        </w:div>
        <w:div w:id="82455933">
          <w:marLeft w:val="1166"/>
          <w:marRight w:val="0"/>
          <w:marTop w:val="0"/>
          <w:marBottom w:val="0"/>
          <w:divBdr>
            <w:top w:val="none" w:sz="0" w:space="0" w:color="auto"/>
            <w:left w:val="none" w:sz="0" w:space="0" w:color="auto"/>
            <w:bottom w:val="none" w:sz="0" w:space="0" w:color="auto"/>
            <w:right w:val="none" w:sz="0" w:space="0" w:color="auto"/>
          </w:divBdr>
        </w:div>
        <w:div w:id="104037555">
          <w:marLeft w:val="547"/>
          <w:marRight w:val="0"/>
          <w:marTop w:val="0"/>
          <w:marBottom w:val="0"/>
          <w:divBdr>
            <w:top w:val="none" w:sz="0" w:space="0" w:color="auto"/>
            <w:left w:val="none" w:sz="0" w:space="0" w:color="auto"/>
            <w:bottom w:val="none" w:sz="0" w:space="0" w:color="auto"/>
            <w:right w:val="none" w:sz="0" w:space="0" w:color="auto"/>
          </w:divBdr>
        </w:div>
        <w:div w:id="127169601">
          <w:marLeft w:val="547"/>
          <w:marRight w:val="0"/>
          <w:marTop w:val="0"/>
          <w:marBottom w:val="0"/>
          <w:divBdr>
            <w:top w:val="none" w:sz="0" w:space="0" w:color="auto"/>
            <w:left w:val="none" w:sz="0" w:space="0" w:color="auto"/>
            <w:bottom w:val="none" w:sz="0" w:space="0" w:color="auto"/>
            <w:right w:val="none" w:sz="0" w:space="0" w:color="auto"/>
          </w:divBdr>
        </w:div>
        <w:div w:id="276496571">
          <w:marLeft w:val="1166"/>
          <w:marRight w:val="0"/>
          <w:marTop w:val="0"/>
          <w:marBottom w:val="0"/>
          <w:divBdr>
            <w:top w:val="none" w:sz="0" w:space="0" w:color="auto"/>
            <w:left w:val="none" w:sz="0" w:space="0" w:color="auto"/>
            <w:bottom w:val="none" w:sz="0" w:space="0" w:color="auto"/>
            <w:right w:val="none" w:sz="0" w:space="0" w:color="auto"/>
          </w:divBdr>
        </w:div>
        <w:div w:id="284848825">
          <w:marLeft w:val="1166"/>
          <w:marRight w:val="0"/>
          <w:marTop w:val="0"/>
          <w:marBottom w:val="0"/>
          <w:divBdr>
            <w:top w:val="none" w:sz="0" w:space="0" w:color="auto"/>
            <w:left w:val="none" w:sz="0" w:space="0" w:color="auto"/>
            <w:bottom w:val="none" w:sz="0" w:space="0" w:color="auto"/>
            <w:right w:val="none" w:sz="0" w:space="0" w:color="auto"/>
          </w:divBdr>
        </w:div>
        <w:div w:id="833111974">
          <w:marLeft w:val="547"/>
          <w:marRight w:val="0"/>
          <w:marTop w:val="0"/>
          <w:marBottom w:val="0"/>
          <w:divBdr>
            <w:top w:val="none" w:sz="0" w:space="0" w:color="auto"/>
            <w:left w:val="none" w:sz="0" w:space="0" w:color="auto"/>
            <w:bottom w:val="none" w:sz="0" w:space="0" w:color="auto"/>
            <w:right w:val="none" w:sz="0" w:space="0" w:color="auto"/>
          </w:divBdr>
        </w:div>
        <w:div w:id="846792007">
          <w:marLeft w:val="547"/>
          <w:marRight w:val="0"/>
          <w:marTop w:val="0"/>
          <w:marBottom w:val="0"/>
          <w:divBdr>
            <w:top w:val="none" w:sz="0" w:space="0" w:color="auto"/>
            <w:left w:val="none" w:sz="0" w:space="0" w:color="auto"/>
            <w:bottom w:val="none" w:sz="0" w:space="0" w:color="auto"/>
            <w:right w:val="none" w:sz="0" w:space="0" w:color="auto"/>
          </w:divBdr>
        </w:div>
        <w:div w:id="868839303">
          <w:marLeft w:val="547"/>
          <w:marRight w:val="0"/>
          <w:marTop w:val="0"/>
          <w:marBottom w:val="0"/>
          <w:divBdr>
            <w:top w:val="none" w:sz="0" w:space="0" w:color="auto"/>
            <w:left w:val="none" w:sz="0" w:space="0" w:color="auto"/>
            <w:bottom w:val="none" w:sz="0" w:space="0" w:color="auto"/>
            <w:right w:val="none" w:sz="0" w:space="0" w:color="auto"/>
          </w:divBdr>
        </w:div>
        <w:div w:id="873226440">
          <w:marLeft w:val="547"/>
          <w:marRight w:val="0"/>
          <w:marTop w:val="0"/>
          <w:marBottom w:val="0"/>
          <w:divBdr>
            <w:top w:val="none" w:sz="0" w:space="0" w:color="auto"/>
            <w:left w:val="none" w:sz="0" w:space="0" w:color="auto"/>
            <w:bottom w:val="none" w:sz="0" w:space="0" w:color="auto"/>
            <w:right w:val="none" w:sz="0" w:space="0" w:color="auto"/>
          </w:divBdr>
        </w:div>
        <w:div w:id="981815374">
          <w:marLeft w:val="1166"/>
          <w:marRight w:val="0"/>
          <w:marTop w:val="0"/>
          <w:marBottom w:val="0"/>
          <w:divBdr>
            <w:top w:val="none" w:sz="0" w:space="0" w:color="auto"/>
            <w:left w:val="none" w:sz="0" w:space="0" w:color="auto"/>
            <w:bottom w:val="none" w:sz="0" w:space="0" w:color="auto"/>
            <w:right w:val="none" w:sz="0" w:space="0" w:color="auto"/>
          </w:divBdr>
        </w:div>
        <w:div w:id="1033923875">
          <w:marLeft w:val="547"/>
          <w:marRight w:val="0"/>
          <w:marTop w:val="0"/>
          <w:marBottom w:val="0"/>
          <w:divBdr>
            <w:top w:val="none" w:sz="0" w:space="0" w:color="auto"/>
            <w:left w:val="none" w:sz="0" w:space="0" w:color="auto"/>
            <w:bottom w:val="none" w:sz="0" w:space="0" w:color="auto"/>
            <w:right w:val="none" w:sz="0" w:space="0" w:color="auto"/>
          </w:divBdr>
        </w:div>
        <w:div w:id="1181898567">
          <w:marLeft w:val="547"/>
          <w:marRight w:val="0"/>
          <w:marTop w:val="0"/>
          <w:marBottom w:val="0"/>
          <w:divBdr>
            <w:top w:val="none" w:sz="0" w:space="0" w:color="auto"/>
            <w:left w:val="none" w:sz="0" w:space="0" w:color="auto"/>
            <w:bottom w:val="none" w:sz="0" w:space="0" w:color="auto"/>
            <w:right w:val="none" w:sz="0" w:space="0" w:color="auto"/>
          </w:divBdr>
        </w:div>
        <w:div w:id="1536776307">
          <w:marLeft w:val="547"/>
          <w:marRight w:val="0"/>
          <w:marTop w:val="0"/>
          <w:marBottom w:val="0"/>
          <w:divBdr>
            <w:top w:val="none" w:sz="0" w:space="0" w:color="auto"/>
            <w:left w:val="none" w:sz="0" w:space="0" w:color="auto"/>
            <w:bottom w:val="none" w:sz="0" w:space="0" w:color="auto"/>
            <w:right w:val="none" w:sz="0" w:space="0" w:color="auto"/>
          </w:divBdr>
        </w:div>
        <w:div w:id="1543903417">
          <w:marLeft w:val="547"/>
          <w:marRight w:val="0"/>
          <w:marTop w:val="0"/>
          <w:marBottom w:val="0"/>
          <w:divBdr>
            <w:top w:val="none" w:sz="0" w:space="0" w:color="auto"/>
            <w:left w:val="none" w:sz="0" w:space="0" w:color="auto"/>
            <w:bottom w:val="none" w:sz="0" w:space="0" w:color="auto"/>
            <w:right w:val="none" w:sz="0" w:space="0" w:color="auto"/>
          </w:divBdr>
        </w:div>
        <w:div w:id="1593396013">
          <w:marLeft w:val="547"/>
          <w:marRight w:val="0"/>
          <w:marTop w:val="0"/>
          <w:marBottom w:val="0"/>
          <w:divBdr>
            <w:top w:val="none" w:sz="0" w:space="0" w:color="auto"/>
            <w:left w:val="none" w:sz="0" w:space="0" w:color="auto"/>
            <w:bottom w:val="none" w:sz="0" w:space="0" w:color="auto"/>
            <w:right w:val="none" w:sz="0" w:space="0" w:color="auto"/>
          </w:divBdr>
        </w:div>
        <w:div w:id="1593928189">
          <w:marLeft w:val="547"/>
          <w:marRight w:val="0"/>
          <w:marTop w:val="0"/>
          <w:marBottom w:val="0"/>
          <w:divBdr>
            <w:top w:val="none" w:sz="0" w:space="0" w:color="auto"/>
            <w:left w:val="none" w:sz="0" w:space="0" w:color="auto"/>
            <w:bottom w:val="none" w:sz="0" w:space="0" w:color="auto"/>
            <w:right w:val="none" w:sz="0" w:space="0" w:color="auto"/>
          </w:divBdr>
        </w:div>
        <w:div w:id="1647664837">
          <w:marLeft w:val="1166"/>
          <w:marRight w:val="0"/>
          <w:marTop w:val="0"/>
          <w:marBottom w:val="0"/>
          <w:divBdr>
            <w:top w:val="none" w:sz="0" w:space="0" w:color="auto"/>
            <w:left w:val="none" w:sz="0" w:space="0" w:color="auto"/>
            <w:bottom w:val="none" w:sz="0" w:space="0" w:color="auto"/>
            <w:right w:val="none" w:sz="0" w:space="0" w:color="auto"/>
          </w:divBdr>
        </w:div>
        <w:div w:id="1689719644">
          <w:marLeft w:val="1166"/>
          <w:marRight w:val="0"/>
          <w:marTop w:val="0"/>
          <w:marBottom w:val="0"/>
          <w:divBdr>
            <w:top w:val="none" w:sz="0" w:space="0" w:color="auto"/>
            <w:left w:val="none" w:sz="0" w:space="0" w:color="auto"/>
            <w:bottom w:val="none" w:sz="0" w:space="0" w:color="auto"/>
            <w:right w:val="none" w:sz="0" w:space="0" w:color="auto"/>
          </w:divBdr>
        </w:div>
        <w:div w:id="1778673753">
          <w:marLeft w:val="1166"/>
          <w:marRight w:val="0"/>
          <w:marTop w:val="0"/>
          <w:marBottom w:val="0"/>
          <w:divBdr>
            <w:top w:val="none" w:sz="0" w:space="0" w:color="auto"/>
            <w:left w:val="none" w:sz="0" w:space="0" w:color="auto"/>
            <w:bottom w:val="none" w:sz="0" w:space="0" w:color="auto"/>
            <w:right w:val="none" w:sz="0" w:space="0" w:color="auto"/>
          </w:divBdr>
        </w:div>
        <w:div w:id="1870603712">
          <w:marLeft w:val="1166"/>
          <w:marRight w:val="0"/>
          <w:marTop w:val="0"/>
          <w:marBottom w:val="0"/>
          <w:divBdr>
            <w:top w:val="none" w:sz="0" w:space="0" w:color="auto"/>
            <w:left w:val="none" w:sz="0" w:space="0" w:color="auto"/>
            <w:bottom w:val="none" w:sz="0" w:space="0" w:color="auto"/>
            <w:right w:val="none" w:sz="0" w:space="0" w:color="auto"/>
          </w:divBdr>
        </w:div>
        <w:div w:id="1903446940">
          <w:marLeft w:val="1166"/>
          <w:marRight w:val="0"/>
          <w:marTop w:val="0"/>
          <w:marBottom w:val="0"/>
          <w:divBdr>
            <w:top w:val="none" w:sz="0" w:space="0" w:color="auto"/>
            <w:left w:val="none" w:sz="0" w:space="0" w:color="auto"/>
            <w:bottom w:val="none" w:sz="0" w:space="0" w:color="auto"/>
            <w:right w:val="none" w:sz="0" w:space="0" w:color="auto"/>
          </w:divBdr>
        </w:div>
        <w:div w:id="2023509234">
          <w:marLeft w:val="1166"/>
          <w:marRight w:val="0"/>
          <w:marTop w:val="0"/>
          <w:marBottom w:val="0"/>
          <w:divBdr>
            <w:top w:val="none" w:sz="0" w:space="0" w:color="auto"/>
            <w:left w:val="none" w:sz="0" w:space="0" w:color="auto"/>
            <w:bottom w:val="none" w:sz="0" w:space="0" w:color="auto"/>
            <w:right w:val="none" w:sz="0" w:space="0" w:color="auto"/>
          </w:divBdr>
        </w:div>
        <w:div w:id="211281893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7035111">
      <w:bodyDiv w:val="1"/>
      <w:marLeft w:val="0"/>
      <w:marRight w:val="0"/>
      <w:marTop w:val="0"/>
      <w:marBottom w:val="0"/>
      <w:divBdr>
        <w:top w:val="none" w:sz="0" w:space="0" w:color="auto"/>
        <w:left w:val="none" w:sz="0" w:space="0" w:color="auto"/>
        <w:bottom w:val="none" w:sz="0" w:space="0" w:color="auto"/>
        <w:right w:val="none" w:sz="0" w:space="0" w:color="auto"/>
      </w:divBdr>
      <w:divsChild>
        <w:div w:id="249627546">
          <w:marLeft w:val="547"/>
          <w:marRight w:val="0"/>
          <w:marTop w:val="0"/>
          <w:marBottom w:val="0"/>
          <w:divBdr>
            <w:top w:val="none" w:sz="0" w:space="0" w:color="auto"/>
            <w:left w:val="none" w:sz="0" w:space="0" w:color="auto"/>
            <w:bottom w:val="none" w:sz="0" w:space="0" w:color="auto"/>
            <w:right w:val="none" w:sz="0" w:space="0" w:color="auto"/>
          </w:divBdr>
        </w:div>
        <w:div w:id="841118525">
          <w:marLeft w:val="547"/>
          <w:marRight w:val="0"/>
          <w:marTop w:val="0"/>
          <w:marBottom w:val="0"/>
          <w:divBdr>
            <w:top w:val="none" w:sz="0" w:space="0" w:color="auto"/>
            <w:left w:val="none" w:sz="0" w:space="0" w:color="auto"/>
            <w:bottom w:val="none" w:sz="0" w:space="0" w:color="auto"/>
            <w:right w:val="none" w:sz="0" w:space="0" w:color="auto"/>
          </w:divBdr>
        </w:div>
        <w:div w:id="1192298678">
          <w:marLeft w:val="547"/>
          <w:marRight w:val="0"/>
          <w:marTop w:val="0"/>
          <w:marBottom w:val="0"/>
          <w:divBdr>
            <w:top w:val="none" w:sz="0" w:space="0" w:color="auto"/>
            <w:left w:val="none" w:sz="0" w:space="0" w:color="auto"/>
            <w:bottom w:val="none" w:sz="0" w:space="0" w:color="auto"/>
            <w:right w:val="none" w:sz="0" w:space="0" w:color="auto"/>
          </w:divBdr>
        </w:div>
        <w:div w:id="1769110766">
          <w:marLeft w:val="547"/>
          <w:marRight w:val="0"/>
          <w:marTop w:val="0"/>
          <w:marBottom w:val="0"/>
          <w:divBdr>
            <w:top w:val="none" w:sz="0" w:space="0" w:color="auto"/>
            <w:left w:val="none" w:sz="0" w:space="0" w:color="auto"/>
            <w:bottom w:val="none" w:sz="0" w:space="0" w:color="auto"/>
            <w:right w:val="none" w:sz="0" w:space="0" w:color="auto"/>
          </w:divBdr>
        </w:div>
      </w:divsChild>
    </w:div>
    <w:div w:id="589776418">
      <w:bodyDiv w:val="1"/>
      <w:marLeft w:val="0"/>
      <w:marRight w:val="0"/>
      <w:marTop w:val="0"/>
      <w:marBottom w:val="0"/>
      <w:divBdr>
        <w:top w:val="none" w:sz="0" w:space="0" w:color="auto"/>
        <w:left w:val="none" w:sz="0" w:space="0" w:color="auto"/>
        <w:bottom w:val="none" w:sz="0" w:space="0" w:color="auto"/>
        <w:right w:val="none" w:sz="0" w:space="0" w:color="auto"/>
      </w:divBdr>
      <w:divsChild>
        <w:div w:id="1638030980">
          <w:marLeft w:val="0"/>
          <w:marRight w:val="0"/>
          <w:marTop w:val="0"/>
          <w:marBottom w:val="0"/>
          <w:divBdr>
            <w:top w:val="none" w:sz="0" w:space="0" w:color="auto"/>
            <w:left w:val="none" w:sz="0" w:space="0" w:color="auto"/>
            <w:bottom w:val="none" w:sz="0" w:space="0" w:color="auto"/>
            <w:right w:val="none" w:sz="0" w:space="0" w:color="auto"/>
          </w:divBdr>
        </w:div>
      </w:divsChild>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94266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866325">
      <w:bodyDiv w:val="1"/>
      <w:marLeft w:val="0"/>
      <w:marRight w:val="0"/>
      <w:marTop w:val="0"/>
      <w:marBottom w:val="0"/>
      <w:divBdr>
        <w:top w:val="none" w:sz="0" w:space="0" w:color="auto"/>
        <w:left w:val="none" w:sz="0" w:space="0" w:color="auto"/>
        <w:bottom w:val="none" w:sz="0" w:space="0" w:color="auto"/>
        <w:right w:val="none" w:sz="0" w:space="0" w:color="auto"/>
      </w:divBdr>
      <w:divsChild>
        <w:div w:id="68313418">
          <w:marLeft w:val="547"/>
          <w:marRight w:val="0"/>
          <w:marTop w:val="0"/>
          <w:marBottom w:val="0"/>
          <w:divBdr>
            <w:top w:val="none" w:sz="0" w:space="0" w:color="auto"/>
            <w:left w:val="none" w:sz="0" w:space="0" w:color="auto"/>
            <w:bottom w:val="none" w:sz="0" w:space="0" w:color="auto"/>
            <w:right w:val="none" w:sz="0" w:space="0" w:color="auto"/>
          </w:divBdr>
        </w:div>
        <w:div w:id="219290753">
          <w:marLeft w:val="1166"/>
          <w:marRight w:val="0"/>
          <w:marTop w:val="0"/>
          <w:marBottom w:val="0"/>
          <w:divBdr>
            <w:top w:val="none" w:sz="0" w:space="0" w:color="auto"/>
            <w:left w:val="none" w:sz="0" w:space="0" w:color="auto"/>
            <w:bottom w:val="none" w:sz="0" w:space="0" w:color="auto"/>
            <w:right w:val="none" w:sz="0" w:space="0" w:color="auto"/>
          </w:divBdr>
        </w:div>
        <w:div w:id="221408382">
          <w:marLeft w:val="547"/>
          <w:marRight w:val="0"/>
          <w:marTop w:val="0"/>
          <w:marBottom w:val="0"/>
          <w:divBdr>
            <w:top w:val="none" w:sz="0" w:space="0" w:color="auto"/>
            <w:left w:val="none" w:sz="0" w:space="0" w:color="auto"/>
            <w:bottom w:val="none" w:sz="0" w:space="0" w:color="auto"/>
            <w:right w:val="none" w:sz="0" w:space="0" w:color="auto"/>
          </w:divBdr>
        </w:div>
        <w:div w:id="400180829">
          <w:marLeft w:val="1166"/>
          <w:marRight w:val="0"/>
          <w:marTop w:val="0"/>
          <w:marBottom w:val="0"/>
          <w:divBdr>
            <w:top w:val="none" w:sz="0" w:space="0" w:color="auto"/>
            <w:left w:val="none" w:sz="0" w:space="0" w:color="auto"/>
            <w:bottom w:val="none" w:sz="0" w:space="0" w:color="auto"/>
            <w:right w:val="none" w:sz="0" w:space="0" w:color="auto"/>
          </w:divBdr>
        </w:div>
        <w:div w:id="527717576">
          <w:marLeft w:val="1166"/>
          <w:marRight w:val="0"/>
          <w:marTop w:val="0"/>
          <w:marBottom w:val="0"/>
          <w:divBdr>
            <w:top w:val="none" w:sz="0" w:space="0" w:color="auto"/>
            <w:left w:val="none" w:sz="0" w:space="0" w:color="auto"/>
            <w:bottom w:val="none" w:sz="0" w:space="0" w:color="auto"/>
            <w:right w:val="none" w:sz="0" w:space="0" w:color="auto"/>
          </w:divBdr>
        </w:div>
        <w:div w:id="1083337052">
          <w:marLeft w:val="547"/>
          <w:marRight w:val="0"/>
          <w:marTop w:val="0"/>
          <w:marBottom w:val="0"/>
          <w:divBdr>
            <w:top w:val="none" w:sz="0" w:space="0" w:color="auto"/>
            <w:left w:val="none" w:sz="0" w:space="0" w:color="auto"/>
            <w:bottom w:val="none" w:sz="0" w:space="0" w:color="auto"/>
            <w:right w:val="none" w:sz="0" w:space="0" w:color="auto"/>
          </w:divBdr>
        </w:div>
        <w:div w:id="1299609403">
          <w:marLeft w:val="547"/>
          <w:marRight w:val="0"/>
          <w:marTop w:val="0"/>
          <w:marBottom w:val="0"/>
          <w:divBdr>
            <w:top w:val="none" w:sz="0" w:space="0" w:color="auto"/>
            <w:left w:val="none" w:sz="0" w:space="0" w:color="auto"/>
            <w:bottom w:val="none" w:sz="0" w:space="0" w:color="auto"/>
            <w:right w:val="none" w:sz="0" w:space="0" w:color="auto"/>
          </w:divBdr>
        </w:div>
        <w:div w:id="1556047463">
          <w:marLeft w:val="1166"/>
          <w:marRight w:val="0"/>
          <w:marTop w:val="0"/>
          <w:marBottom w:val="0"/>
          <w:divBdr>
            <w:top w:val="none" w:sz="0" w:space="0" w:color="auto"/>
            <w:left w:val="none" w:sz="0" w:space="0" w:color="auto"/>
            <w:bottom w:val="none" w:sz="0" w:space="0" w:color="auto"/>
            <w:right w:val="none" w:sz="0" w:space="0" w:color="auto"/>
          </w:divBdr>
        </w:div>
        <w:div w:id="1974217468">
          <w:marLeft w:val="547"/>
          <w:marRight w:val="0"/>
          <w:marTop w:val="0"/>
          <w:marBottom w:val="0"/>
          <w:divBdr>
            <w:top w:val="none" w:sz="0" w:space="0" w:color="auto"/>
            <w:left w:val="none" w:sz="0" w:space="0" w:color="auto"/>
            <w:bottom w:val="none" w:sz="0" w:space="0" w:color="auto"/>
            <w:right w:val="none" w:sz="0" w:space="0" w:color="auto"/>
          </w:divBdr>
        </w:div>
        <w:div w:id="2031180446">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343778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367488">
      <w:bodyDiv w:val="1"/>
      <w:marLeft w:val="0"/>
      <w:marRight w:val="0"/>
      <w:marTop w:val="0"/>
      <w:marBottom w:val="0"/>
      <w:divBdr>
        <w:top w:val="none" w:sz="0" w:space="0" w:color="auto"/>
        <w:left w:val="none" w:sz="0" w:space="0" w:color="auto"/>
        <w:bottom w:val="none" w:sz="0" w:space="0" w:color="auto"/>
        <w:right w:val="none" w:sz="0" w:space="0" w:color="auto"/>
      </w:divBdr>
      <w:divsChild>
        <w:div w:id="616838186">
          <w:marLeft w:val="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591428910">
      <w:bodyDiv w:val="1"/>
      <w:marLeft w:val="0"/>
      <w:marRight w:val="0"/>
      <w:marTop w:val="0"/>
      <w:marBottom w:val="0"/>
      <w:divBdr>
        <w:top w:val="none" w:sz="0" w:space="0" w:color="auto"/>
        <w:left w:val="none" w:sz="0" w:space="0" w:color="auto"/>
        <w:bottom w:val="none" w:sz="0" w:space="0" w:color="auto"/>
        <w:right w:val="none" w:sz="0" w:space="0" w:color="auto"/>
      </w:divBdr>
      <w:divsChild>
        <w:div w:id="107480058">
          <w:marLeft w:val="1166"/>
          <w:marRight w:val="0"/>
          <w:marTop w:val="0"/>
          <w:marBottom w:val="0"/>
          <w:divBdr>
            <w:top w:val="none" w:sz="0" w:space="0" w:color="auto"/>
            <w:left w:val="none" w:sz="0" w:space="0" w:color="auto"/>
            <w:bottom w:val="none" w:sz="0" w:space="0" w:color="auto"/>
            <w:right w:val="none" w:sz="0" w:space="0" w:color="auto"/>
          </w:divBdr>
        </w:div>
        <w:div w:id="327439660">
          <w:marLeft w:val="547"/>
          <w:marRight w:val="0"/>
          <w:marTop w:val="0"/>
          <w:marBottom w:val="0"/>
          <w:divBdr>
            <w:top w:val="none" w:sz="0" w:space="0" w:color="auto"/>
            <w:left w:val="none" w:sz="0" w:space="0" w:color="auto"/>
            <w:bottom w:val="none" w:sz="0" w:space="0" w:color="auto"/>
            <w:right w:val="none" w:sz="0" w:space="0" w:color="auto"/>
          </w:divBdr>
        </w:div>
        <w:div w:id="493109265">
          <w:marLeft w:val="1166"/>
          <w:marRight w:val="0"/>
          <w:marTop w:val="0"/>
          <w:marBottom w:val="0"/>
          <w:divBdr>
            <w:top w:val="none" w:sz="0" w:space="0" w:color="auto"/>
            <w:left w:val="none" w:sz="0" w:space="0" w:color="auto"/>
            <w:bottom w:val="none" w:sz="0" w:space="0" w:color="auto"/>
            <w:right w:val="none" w:sz="0" w:space="0" w:color="auto"/>
          </w:divBdr>
        </w:div>
        <w:div w:id="644968540">
          <w:marLeft w:val="1166"/>
          <w:marRight w:val="0"/>
          <w:marTop w:val="0"/>
          <w:marBottom w:val="0"/>
          <w:divBdr>
            <w:top w:val="none" w:sz="0" w:space="0" w:color="auto"/>
            <w:left w:val="none" w:sz="0" w:space="0" w:color="auto"/>
            <w:bottom w:val="none" w:sz="0" w:space="0" w:color="auto"/>
            <w:right w:val="none" w:sz="0" w:space="0" w:color="auto"/>
          </w:divBdr>
        </w:div>
        <w:div w:id="889994270">
          <w:marLeft w:val="547"/>
          <w:marRight w:val="0"/>
          <w:marTop w:val="0"/>
          <w:marBottom w:val="0"/>
          <w:divBdr>
            <w:top w:val="none" w:sz="0" w:space="0" w:color="auto"/>
            <w:left w:val="none" w:sz="0" w:space="0" w:color="auto"/>
            <w:bottom w:val="none" w:sz="0" w:space="0" w:color="auto"/>
            <w:right w:val="none" w:sz="0" w:space="0" w:color="auto"/>
          </w:divBdr>
        </w:div>
        <w:div w:id="1025449965">
          <w:marLeft w:val="547"/>
          <w:marRight w:val="0"/>
          <w:marTop w:val="0"/>
          <w:marBottom w:val="0"/>
          <w:divBdr>
            <w:top w:val="none" w:sz="0" w:space="0" w:color="auto"/>
            <w:left w:val="none" w:sz="0" w:space="0" w:color="auto"/>
            <w:bottom w:val="none" w:sz="0" w:space="0" w:color="auto"/>
            <w:right w:val="none" w:sz="0" w:space="0" w:color="auto"/>
          </w:divBdr>
        </w:div>
        <w:div w:id="1115637470">
          <w:marLeft w:val="547"/>
          <w:marRight w:val="0"/>
          <w:marTop w:val="0"/>
          <w:marBottom w:val="0"/>
          <w:divBdr>
            <w:top w:val="none" w:sz="0" w:space="0" w:color="auto"/>
            <w:left w:val="none" w:sz="0" w:space="0" w:color="auto"/>
            <w:bottom w:val="none" w:sz="0" w:space="0" w:color="auto"/>
            <w:right w:val="none" w:sz="0" w:space="0" w:color="auto"/>
          </w:divBdr>
        </w:div>
        <w:div w:id="1215586455">
          <w:marLeft w:val="1166"/>
          <w:marRight w:val="0"/>
          <w:marTop w:val="0"/>
          <w:marBottom w:val="0"/>
          <w:divBdr>
            <w:top w:val="none" w:sz="0" w:space="0" w:color="auto"/>
            <w:left w:val="none" w:sz="0" w:space="0" w:color="auto"/>
            <w:bottom w:val="none" w:sz="0" w:space="0" w:color="auto"/>
            <w:right w:val="none" w:sz="0" w:space="0" w:color="auto"/>
          </w:divBdr>
        </w:div>
        <w:div w:id="1634409725">
          <w:marLeft w:val="1166"/>
          <w:marRight w:val="0"/>
          <w:marTop w:val="0"/>
          <w:marBottom w:val="0"/>
          <w:divBdr>
            <w:top w:val="none" w:sz="0" w:space="0" w:color="auto"/>
            <w:left w:val="none" w:sz="0" w:space="0" w:color="auto"/>
            <w:bottom w:val="none" w:sz="0" w:space="0" w:color="auto"/>
            <w:right w:val="none" w:sz="0" w:space="0" w:color="auto"/>
          </w:divBdr>
        </w:div>
        <w:div w:id="1686398160">
          <w:marLeft w:val="547"/>
          <w:marRight w:val="0"/>
          <w:marTop w:val="0"/>
          <w:marBottom w:val="0"/>
          <w:divBdr>
            <w:top w:val="none" w:sz="0" w:space="0" w:color="auto"/>
            <w:left w:val="none" w:sz="0" w:space="0" w:color="auto"/>
            <w:bottom w:val="none" w:sz="0" w:space="0" w:color="auto"/>
            <w:right w:val="none" w:sz="0" w:space="0" w:color="auto"/>
          </w:divBdr>
        </w:div>
        <w:div w:id="1830511969">
          <w:marLeft w:val="1166"/>
          <w:marRight w:val="0"/>
          <w:marTop w:val="0"/>
          <w:marBottom w:val="0"/>
          <w:divBdr>
            <w:top w:val="none" w:sz="0" w:space="0" w:color="auto"/>
            <w:left w:val="none" w:sz="0" w:space="0" w:color="auto"/>
            <w:bottom w:val="none" w:sz="0" w:space="0" w:color="auto"/>
            <w:right w:val="none" w:sz="0" w:space="0" w:color="auto"/>
          </w:divBdr>
        </w:div>
      </w:divsChild>
    </w:div>
    <w:div w:id="1592079889">
      <w:bodyDiv w:val="1"/>
      <w:marLeft w:val="0"/>
      <w:marRight w:val="0"/>
      <w:marTop w:val="0"/>
      <w:marBottom w:val="0"/>
      <w:divBdr>
        <w:top w:val="none" w:sz="0" w:space="0" w:color="auto"/>
        <w:left w:val="none" w:sz="0" w:space="0" w:color="auto"/>
        <w:bottom w:val="none" w:sz="0" w:space="0" w:color="auto"/>
        <w:right w:val="none" w:sz="0" w:space="0" w:color="auto"/>
      </w:divBdr>
      <w:divsChild>
        <w:div w:id="121922814">
          <w:marLeft w:val="547"/>
          <w:marRight w:val="0"/>
          <w:marTop w:val="0"/>
          <w:marBottom w:val="0"/>
          <w:divBdr>
            <w:top w:val="none" w:sz="0" w:space="0" w:color="auto"/>
            <w:left w:val="none" w:sz="0" w:space="0" w:color="auto"/>
            <w:bottom w:val="none" w:sz="0" w:space="0" w:color="auto"/>
            <w:right w:val="none" w:sz="0" w:space="0" w:color="auto"/>
          </w:divBdr>
        </w:div>
        <w:div w:id="811604995">
          <w:marLeft w:val="547"/>
          <w:marRight w:val="0"/>
          <w:marTop w:val="0"/>
          <w:marBottom w:val="0"/>
          <w:divBdr>
            <w:top w:val="none" w:sz="0" w:space="0" w:color="auto"/>
            <w:left w:val="none" w:sz="0" w:space="0" w:color="auto"/>
            <w:bottom w:val="none" w:sz="0" w:space="0" w:color="auto"/>
            <w:right w:val="none" w:sz="0" w:space="0" w:color="auto"/>
          </w:divBdr>
        </w:div>
        <w:div w:id="1009139235">
          <w:marLeft w:val="547"/>
          <w:marRight w:val="0"/>
          <w:marTop w:val="0"/>
          <w:marBottom w:val="0"/>
          <w:divBdr>
            <w:top w:val="none" w:sz="0" w:space="0" w:color="auto"/>
            <w:left w:val="none" w:sz="0" w:space="0" w:color="auto"/>
            <w:bottom w:val="none" w:sz="0" w:space="0" w:color="auto"/>
            <w:right w:val="none" w:sz="0" w:space="0" w:color="auto"/>
          </w:divBdr>
        </w:div>
        <w:div w:id="1304577006">
          <w:marLeft w:val="547"/>
          <w:marRight w:val="0"/>
          <w:marTop w:val="0"/>
          <w:marBottom w:val="0"/>
          <w:divBdr>
            <w:top w:val="none" w:sz="0" w:space="0" w:color="auto"/>
            <w:left w:val="none" w:sz="0" w:space="0" w:color="auto"/>
            <w:bottom w:val="none" w:sz="0" w:space="0" w:color="auto"/>
            <w:right w:val="none" w:sz="0" w:space="0" w:color="auto"/>
          </w:divBdr>
        </w:div>
        <w:div w:id="1543126759">
          <w:marLeft w:val="547"/>
          <w:marRight w:val="0"/>
          <w:marTop w:val="0"/>
          <w:marBottom w:val="0"/>
          <w:divBdr>
            <w:top w:val="none" w:sz="0" w:space="0" w:color="auto"/>
            <w:left w:val="none" w:sz="0" w:space="0" w:color="auto"/>
            <w:bottom w:val="none" w:sz="0" w:space="0" w:color="auto"/>
            <w:right w:val="none" w:sz="0" w:space="0" w:color="auto"/>
          </w:divBdr>
        </w:div>
        <w:div w:id="1678072937">
          <w:marLeft w:val="547"/>
          <w:marRight w:val="0"/>
          <w:marTop w:val="0"/>
          <w:marBottom w:val="0"/>
          <w:divBdr>
            <w:top w:val="none" w:sz="0" w:space="0" w:color="auto"/>
            <w:left w:val="none" w:sz="0" w:space="0" w:color="auto"/>
            <w:bottom w:val="none" w:sz="0" w:space="0" w:color="auto"/>
            <w:right w:val="none" w:sz="0" w:space="0" w:color="auto"/>
          </w:divBdr>
        </w:div>
        <w:div w:id="1686708555">
          <w:marLeft w:val="547"/>
          <w:marRight w:val="0"/>
          <w:marTop w:val="0"/>
          <w:marBottom w:val="0"/>
          <w:divBdr>
            <w:top w:val="none" w:sz="0" w:space="0" w:color="auto"/>
            <w:left w:val="none" w:sz="0" w:space="0" w:color="auto"/>
            <w:bottom w:val="none" w:sz="0" w:space="0" w:color="auto"/>
            <w:right w:val="none" w:sz="0" w:space="0" w:color="auto"/>
          </w:divBdr>
        </w:div>
        <w:div w:id="1896309978">
          <w:marLeft w:val="547"/>
          <w:marRight w:val="0"/>
          <w:marTop w:val="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2541849">
      <w:bodyDiv w:val="1"/>
      <w:marLeft w:val="0"/>
      <w:marRight w:val="0"/>
      <w:marTop w:val="0"/>
      <w:marBottom w:val="0"/>
      <w:divBdr>
        <w:top w:val="none" w:sz="0" w:space="0" w:color="auto"/>
        <w:left w:val="none" w:sz="0" w:space="0" w:color="auto"/>
        <w:bottom w:val="none" w:sz="0" w:space="0" w:color="auto"/>
        <w:right w:val="none" w:sz="0" w:space="0" w:color="auto"/>
      </w:divBdr>
      <w:divsChild>
        <w:div w:id="356661009">
          <w:marLeft w:val="1166"/>
          <w:marRight w:val="0"/>
          <w:marTop w:val="0"/>
          <w:marBottom w:val="0"/>
          <w:divBdr>
            <w:top w:val="none" w:sz="0" w:space="0" w:color="auto"/>
            <w:left w:val="none" w:sz="0" w:space="0" w:color="auto"/>
            <w:bottom w:val="none" w:sz="0" w:space="0" w:color="auto"/>
            <w:right w:val="none" w:sz="0" w:space="0" w:color="auto"/>
          </w:divBdr>
        </w:div>
        <w:div w:id="520356860">
          <w:marLeft w:val="547"/>
          <w:marRight w:val="0"/>
          <w:marTop w:val="0"/>
          <w:marBottom w:val="0"/>
          <w:divBdr>
            <w:top w:val="none" w:sz="0" w:space="0" w:color="auto"/>
            <w:left w:val="none" w:sz="0" w:space="0" w:color="auto"/>
            <w:bottom w:val="none" w:sz="0" w:space="0" w:color="auto"/>
            <w:right w:val="none" w:sz="0" w:space="0" w:color="auto"/>
          </w:divBdr>
        </w:div>
        <w:div w:id="1196696264">
          <w:marLeft w:val="1166"/>
          <w:marRight w:val="0"/>
          <w:marTop w:val="0"/>
          <w:marBottom w:val="0"/>
          <w:divBdr>
            <w:top w:val="none" w:sz="0" w:space="0" w:color="auto"/>
            <w:left w:val="none" w:sz="0" w:space="0" w:color="auto"/>
            <w:bottom w:val="none" w:sz="0" w:space="0" w:color="auto"/>
            <w:right w:val="none" w:sz="0" w:space="0" w:color="auto"/>
          </w:divBdr>
        </w:div>
        <w:div w:id="1219047355">
          <w:marLeft w:val="547"/>
          <w:marRight w:val="0"/>
          <w:marTop w:val="0"/>
          <w:marBottom w:val="0"/>
          <w:divBdr>
            <w:top w:val="none" w:sz="0" w:space="0" w:color="auto"/>
            <w:left w:val="none" w:sz="0" w:space="0" w:color="auto"/>
            <w:bottom w:val="none" w:sz="0" w:space="0" w:color="auto"/>
            <w:right w:val="none" w:sz="0" w:space="0" w:color="auto"/>
          </w:divBdr>
        </w:div>
        <w:div w:id="1311710077">
          <w:marLeft w:val="547"/>
          <w:marRight w:val="0"/>
          <w:marTop w:val="0"/>
          <w:marBottom w:val="0"/>
          <w:divBdr>
            <w:top w:val="none" w:sz="0" w:space="0" w:color="auto"/>
            <w:left w:val="none" w:sz="0" w:space="0" w:color="auto"/>
            <w:bottom w:val="none" w:sz="0" w:space="0" w:color="auto"/>
            <w:right w:val="none" w:sz="0" w:space="0" w:color="auto"/>
          </w:divBdr>
        </w:div>
        <w:div w:id="1728337031">
          <w:marLeft w:val="547"/>
          <w:marRight w:val="0"/>
          <w:marTop w:val="0"/>
          <w:marBottom w:val="0"/>
          <w:divBdr>
            <w:top w:val="none" w:sz="0" w:space="0" w:color="auto"/>
            <w:left w:val="none" w:sz="0" w:space="0" w:color="auto"/>
            <w:bottom w:val="none" w:sz="0" w:space="0" w:color="auto"/>
            <w:right w:val="none" w:sz="0" w:space="0" w:color="auto"/>
          </w:divBdr>
        </w:div>
        <w:div w:id="1998460133">
          <w:marLeft w:val="1166"/>
          <w:marRight w:val="0"/>
          <w:marTop w:val="0"/>
          <w:marBottom w:val="0"/>
          <w:divBdr>
            <w:top w:val="none" w:sz="0" w:space="0" w:color="auto"/>
            <w:left w:val="none" w:sz="0" w:space="0" w:color="auto"/>
            <w:bottom w:val="none" w:sz="0" w:space="0" w:color="auto"/>
            <w:right w:val="none" w:sz="0" w:space="0" w:color="auto"/>
          </w:divBdr>
        </w:div>
        <w:div w:id="2141654759">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228803">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778209666">
      <w:bodyDiv w:val="1"/>
      <w:marLeft w:val="0"/>
      <w:marRight w:val="0"/>
      <w:marTop w:val="0"/>
      <w:marBottom w:val="0"/>
      <w:divBdr>
        <w:top w:val="none" w:sz="0" w:space="0" w:color="auto"/>
        <w:left w:val="none" w:sz="0" w:space="0" w:color="auto"/>
        <w:bottom w:val="none" w:sz="0" w:space="0" w:color="auto"/>
        <w:right w:val="none" w:sz="0" w:space="0" w:color="auto"/>
      </w:divBdr>
      <w:divsChild>
        <w:div w:id="55321207">
          <w:marLeft w:val="1166"/>
          <w:marRight w:val="0"/>
          <w:marTop w:val="0"/>
          <w:marBottom w:val="0"/>
          <w:divBdr>
            <w:top w:val="none" w:sz="0" w:space="0" w:color="auto"/>
            <w:left w:val="none" w:sz="0" w:space="0" w:color="auto"/>
            <w:bottom w:val="none" w:sz="0" w:space="0" w:color="auto"/>
            <w:right w:val="none" w:sz="0" w:space="0" w:color="auto"/>
          </w:divBdr>
        </w:div>
        <w:div w:id="237792194">
          <w:marLeft w:val="1166"/>
          <w:marRight w:val="0"/>
          <w:marTop w:val="0"/>
          <w:marBottom w:val="0"/>
          <w:divBdr>
            <w:top w:val="none" w:sz="0" w:space="0" w:color="auto"/>
            <w:left w:val="none" w:sz="0" w:space="0" w:color="auto"/>
            <w:bottom w:val="none" w:sz="0" w:space="0" w:color="auto"/>
            <w:right w:val="none" w:sz="0" w:space="0" w:color="auto"/>
          </w:divBdr>
        </w:div>
        <w:div w:id="312102653">
          <w:marLeft w:val="547"/>
          <w:marRight w:val="0"/>
          <w:marTop w:val="0"/>
          <w:marBottom w:val="0"/>
          <w:divBdr>
            <w:top w:val="none" w:sz="0" w:space="0" w:color="auto"/>
            <w:left w:val="none" w:sz="0" w:space="0" w:color="auto"/>
            <w:bottom w:val="none" w:sz="0" w:space="0" w:color="auto"/>
            <w:right w:val="none" w:sz="0" w:space="0" w:color="auto"/>
          </w:divBdr>
        </w:div>
        <w:div w:id="524098480">
          <w:marLeft w:val="547"/>
          <w:marRight w:val="0"/>
          <w:marTop w:val="0"/>
          <w:marBottom w:val="0"/>
          <w:divBdr>
            <w:top w:val="none" w:sz="0" w:space="0" w:color="auto"/>
            <w:left w:val="none" w:sz="0" w:space="0" w:color="auto"/>
            <w:bottom w:val="none" w:sz="0" w:space="0" w:color="auto"/>
            <w:right w:val="none" w:sz="0" w:space="0" w:color="auto"/>
          </w:divBdr>
        </w:div>
        <w:div w:id="526530668">
          <w:marLeft w:val="1166"/>
          <w:marRight w:val="0"/>
          <w:marTop w:val="0"/>
          <w:marBottom w:val="0"/>
          <w:divBdr>
            <w:top w:val="none" w:sz="0" w:space="0" w:color="auto"/>
            <w:left w:val="none" w:sz="0" w:space="0" w:color="auto"/>
            <w:bottom w:val="none" w:sz="0" w:space="0" w:color="auto"/>
            <w:right w:val="none" w:sz="0" w:space="0" w:color="auto"/>
          </w:divBdr>
        </w:div>
        <w:div w:id="563495311">
          <w:marLeft w:val="547"/>
          <w:marRight w:val="0"/>
          <w:marTop w:val="0"/>
          <w:marBottom w:val="0"/>
          <w:divBdr>
            <w:top w:val="none" w:sz="0" w:space="0" w:color="auto"/>
            <w:left w:val="none" w:sz="0" w:space="0" w:color="auto"/>
            <w:bottom w:val="none" w:sz="0" w:space="0" w:color="auto"/>
            <w:right w:val="none" w:sz="0" w:space="0" w:color="auto"/>
          </w:divBdr>
        </w:div>
        <w:div w:id="649791762">
          <w:marLeft w:val="547"/>
          <w:marRight w:val="0"/>
          <w:marTop w:val="0"/>
          <w:marBottom w:val="0"/>
          <w:divBdr>
            <w:top w:val="none" w:sz="0" w:space="0" w:color="auto"/>
            <w:left w:val="none" w:sz="0" w:space="0" w:color="auto"/>
            <w:bottom w:val="none" w:sz="0" w:space="0" w:color="auto"/>
            <w:right w:val="none" w:sz="0" w:space="0" w:color="auto"/>
          </w:divBdr>
        </w:div>
        <w:div w:id="803618553">
          <w:marLeft w:val="547"/>
          <w:marRight w:val="0"/>
          <w:marTop w:val="0"/>
          <w:marBottom w:val="0"/>
          <w:divBdr>
            <w:top w:val="none" w:sz="0" w:space="0" w:color="auto"/>
            <w:left w:val="none" w:sz="0" w:space="0" w:color="auto"/>
            <w:bottom w:val="none" w:sz="0" w:space="0" w:color="auto"/>
            <w:right w:val="none" w:sz="0" w:space="0" w:color="auto"/>
          </w:divBdr>
        </w:div>
        <w:div w:id="900405752">
          <w:marLeft w:val="547"/>
          <w:marRight w:val="0"/>
          <w:marTop w:val="0"/>
          <w:marBottom w:val="0"/>
          <w:divBdr>
            <w:top w:val="none" w:sz="0" w:space="0" w:color="auto"/>
            <w:left w:val="none" w:sz="0" w:space="0" w:color="auto"/>
            <w:bottom w:val="none" w:sz="0" w:space="0" w:color="auto"/>
            <w:right w:val="none" w:sz="0" w:space="0" w:color="auto"/>
          </w:divBdr>
        </w:div>
        <w:div w:id="1169177258">
          <w:marLeft w:val="547"/>
          <w:marRight w:val="0"/>
          <w:marTop w:val="0"/>
          <w:marBottom w:val="0"/>
          <w:divBdr>
            <w:top w:val="none" w:sz="0" w:space="0" w:color="auto"/>
            <w:left w:val="none" w:sz="0" w:space="0" w:color="auto"/>
            <w:bottom w:val="none" w:sz="0" w:space="0" w:color="auto"/>
            <w:right w:val="none" w:sz="0" w:space="0" w:color="auto"/>
          </w:divBdr>
        </w:div>
        <w:div w:id="1269239790">
          <w:marLeft w:val="547"/>
          <w:marRight w:val="0"/>
          <w:marTop w:val="0"/>
          <w:marBottom w:val="0"/>
          <w:divBdr>
            <w:top w:val="none" w:sz="0" w:space="0" w:color="auto"/>
            <w:left w:val="none" w:sz="0" w:space="0" w:color="auto"/>
            <w:bottom w:val="none" w:sz="0" w:space="0" w:color="auto"/>
            <w:right w:val="none" w:sz="0" w:space="0" w:color="auto"/>
          </w:divBdr>
        </w:div>
        <w:div w:id="1678147475">
          <w:marLeft w:val="547"/>
          <w:marRight w:val="0"/>
          <w:marTop w:val="0"/>
          <w:marBottom w:val="0"/>
          <w:divBdr>
            <w:top w:val="none" w:sz="0" w:space="0" w:color="auto"/>
            <w:left w:val="none" w:sz="0" w:space="0" w:color="auto"/>
            <w:bottom w:val="none" w:sz="0" w:space="0" w:color="auto"/>
            <w:right w:val="none" w:sz="0" w:space="0" w:color="auto"/>
          </w:divBdr>
        </w:div>
      </w:divsChild>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39001">
      <w:bodyDiv w:val="1"/>
      <w:marLeft w:val="0"/>
      <w:marRight w:val="0"/>
      <w:marTop w:val="0"/>
      <w:marBottom w:val="0"/>
      <w:divBdr>
        <w:top w:val="none" w:sz="0" w:space="0" w:color="auto"/>
        <w:left w:val="none" w:sz="0" w:space="0" w:color="auto"/>
        <w:bottom w:val="none" w:sz="0" w:space="0" w:color="auto"/>
        <w:right w:val="none" w:sz="0" w:space="0" w:color="auto"/>
      </w:divBdr>
      <w:divsChild>
        <w:div w:id="148641489">
          <w:marLeft w:val="0"/>
          <w:marRight w:val="0"/>
          <w:marTop w:val="0"/>
          <w:marBottom w:val="0"/>
          <w:divBdr>
            <w:top w:val="none" w:sz="0" w:space="0" w:color="auto"/>
            <w:left w:val="none" w:sz="0" w:space="0" w:color="auto"/>
            <w:bottom w:val="none" w:sz="0" w:space="0" w:color="auto"/>
            <w:right w:val="none" w:sz="0" w:space="0" w:color="auto"/>
          </w:divBdr>
        </w:div>
      </w:divsChild>
    </w:div>
    <w:div w:id="1867015461">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5914047">
      <w:bodyDiv w:val="1"/>
      <w:marLeft w:val="0"/>
      <w:marRight w:val="0"/>
      <w:marTop w:val="0"/>
      <w:marBottom w:val="0"/>
      <w:divBdr>
        <w:top w:val="none" w:sz="0" w:space="0" w:color="auto"/>
        <w:left w:val="none" w:sz="0" w:space="0" w:color="auto"/>
        <w:bottom w:val="none" w:sz="0" w:space="0" w:color="auto"/>
        <w:right w:val="none" w:sz="0" w:space="0" w:color="auto"/>
      </w:divBdr>
      <w:divsChild>
        <w:div w:id="726491191">
          <w:marLeft w:val="547"/>
          <w:marRight w:val="0"/>
          <w:marTop w:val="0"/>
          <w:marBottom w:val="0"/>
          <w:divBdr>
            <w:top w:val="none" w:sz="0" w:space="0" w:color="auto"/>
            <w:left w:val="none" w:sz="0" w:space="0" w:color="auto"/>
            <w:bottom w:val="none" w:sz="0" w:space="0" w:color="auto"/>
            <w:right w:val="none" w:sz="0" w:space="0" w:color="auto"/>
          </w:divBdr>
        </w:div>
        <w:div w:id="752167997">
          <w:marLeft w:val="1166"/>
          <w:marRight w:val="0"/>
          <w:marTop w:val="0"/>
          <w:marBottom w:val="0"/>
          <w:divBdr>
            <w:top w:val="none" w:sz="0" w:space="0" w:color="auto"/>
            <w:left w:val="none" w:sz="0" w:space="0" w:color="auto"/>
            <w:bottom w:val="none" w:sz="0" w:space="0" w:color="auto"/>
            <w:right w:val="none" w:sz="0" w:space="0" w:color="auto"/>
          </w:divBdr>
        </w:div>
        <w:div w:id="934945014">
          <w:marLeft w:val="1800"/>
          <w:marRight w:val="0"/>
          <w:marTop w:val="0"/>
          <w:marBottom w:val="0"/>
          <w:divBdr>
            <w:top w:val="none" w:sz="0" w:space="0" w:color="auto"/>
            <w:left w:val="none" w:sz="0" w:space="0" w:color="auto"/>
            <w:bottom w:val="none" w:sz="0" w:space="0" w:color="auto"/>
            <w:right w:val="none" w:sz="0" w:space="0" w:color="auto"/>
          </w:divBdr>
        </w:div>
        <w:div w:id="1013148740">
          <w:marLeft w:val="1800"/>
          <w:marRight w:val="0"/>
          <w:marTop w:val="0"/>
          <w:marBottom w:val="0"/>
          <w:divBdr>
            <w:top w:val="none" w:sz="0" w:space="0" w:color="auto"/>
            <w:left w:val="none" w:sz="0" w:space="0" w:color="auto"/>
            <w:bottom w:val="none" w:sz="0" w:space="0" w:color="auto"/>
            <w:right w:val="none" w:sz="0" w:space="0" w:color="auto"/>
          </w:divBdr>
        </w:div>
        <w:div w:id="1099184405">
          <w:marLeft w:val="1800"/>
          <w:marRight w:val="0"/>
          <w:marTop w:val="0"/>
          <w:marBottom w:val="0"/>
          <w:divBdr>
            <w:top w:val="none" w:sz="0" w:space="0" w:color="auto"/>
            <w:left w:val="none" w:sz="0" w:space="0" w:color="auto"/>
            <w:bottom w:val="none" w:sz="0" w:space="0" w:color="auto"/>
            <w:right w:val="none" w:sz="0" w:space="0" w:color="auto"/>
          </w:divBdr>
        </w:div>
        <w:div w:id="1227036204">
          <w:marLeft w:val="1166"/>
          <w:marRight w:val="0"/>
          <w:marTop w:val="0"/>
          <w:marBottom w:val="0"/>
          <w:divBdr>
            <w:top w:val="none" w:sz="0" w:space="0" w:color="auto"/>
            <w:left w:val="none" w:sz="0" w:space="0" w:color="auto"/>
            <w:bottom w:val="none" w:sz="0" w:space="0" w:color="auto"/>
            <w:right w:val="none" w:sz="0" w:space="0" w:color="auto"/>
          </w:divBdr>
        </w:div>
        <w:div w:id="1439712441">
          <w:marLeft w:val="1800"/>
          <w:marRight w:val="0"/>
          <w:marTop w:val="0"/>
          <w:marBottom w:val="0"/>
          <w:divBdr>
            <w:top w:val="none" w:sz="0" w:space="0" w:color="auto"/>
            <w:left w:val="none" w:sz="0" w:space="0" w:color="auto"/>
            <w:bottom w:val="none" w:sz="0" w:space="0" w:color="auto"/>
            <w:right w:val="none" w:sz="0" w:space="0" w:color="auto"/>
          </w:divBdr>
        </w:div>
        <w:div w:id="1521970414">
          <w:marLeft w:val="547"/>
          <w:marRight w:val="0"/>
          <w:marTop w:val="0"/>
          <w:marBottom w:val="0"/>
          <w:divBdr>
            <w:top w:val="none" w:sz="0" w:space="0" w:color="auto"/>
            <w:left w:val="none" w:sz="0" w:space="0" w:color="auto"/>
            <w:bottom w:val="none" w:sz="0" w:space="0" w:color="auto"/>
            <w:right w:val="none" w:sz="0" w:space="0" w:color="auto"/>
          </w:divBdr>
        </w:div>
        <w:div w:id="1674719974">
          <w:marLeft w:val="1800"/>
          <w:marRight w:val="0"/>
          <w:marTop w:val="0"/>
          <w:marBottom w:val="0"/>
          <w:divBdr>
            <w:top w:val="none" w:sz="0" w:space="0" w:color="auto"/>
            <w:left w:val="none" w:sz="0" w:space="0" w:color="auto"/>
            <w:bottom w:val="none" w:sz="0" w:space="0" w:color="auto"/>
            <w:right w:val="none" w:sz="0" w:space="0" w:color="auto"/>
          </w:divBdr>
        </w:div>
        <w:div w:id="1956935278">
          <w:marLeft w:val="547"/>
          <w:marRight w:val="0"/>
          <w:marTop w:val="0"/>
          <w:marBottom w:val="0"/>
          <w:divBdr>
            <w:top w:val="none" w:sz="0" w:space="0" w:color="auto"/>
            <w:left w:val="none" w:sz="0" w:space="0" w:color="auto"/>
            <w:bottom w:val="none" w:sz="0" w:space="0" w:color="auto"/>
            <w:right w:val="none" w:sz="0" w:space="0" w:color="auto"/>
          </w:divBdr>
        </w:div>
      </w:divsChild>
    </w:div>
    <w:div w:id="2014910752">
      <w:bodyDiv w:val="1"/>
      <w:marLeft w:val="0"/>
      <w:marRight w:val="0"/>
      <w:marTop w:val="0"/>
      <w:marBottom w:val="0"/>
      <w:divBdr>
        <w:top w:val="none" w:sz="0" w:space="0" w:color="auto"/>
        <w:left w:val="none" w:sz="0" w:space="0" w:color="auto"/>
        <w:bottom w:val="none" w:sz="0" w:space="0" w:color="auto"/>
        <w:right w:val="none" w:sz="0" w:space="0" w:color="auto"/>
      </w:divBdr>
      <w:divsChild>
        <w:div w:id="44330888">
          <w:marLeft w:val="2520"/>
          <w:marRight w:val="0"/>
          <w:marTop w:val="0"/>
          <w:marBottom w:val="0"/>
          <w:divBdr>
            <w:top w:val="none" w:sz="0" w:space="0" w:color="auto"/>
            <w:left w:val="none" w:sz="0" w:space="0" w:color="auto"/>
            <w:bottom w:val="none" w:sz="0" w:space="0" w:color="auto"/>
            <w:right w:val="none" w:sz="0" w:space="0" w:color="auto"/>
          </w:divBdr>
        </w:div>
        <w:div w:id="428048118">
          <w:marLeft w:val="3240"/>
          <w:marRight w:val="0"/>
          <w:marTop w:val="0"/>
          <w:marBottom w:val="0"/>
          <w:divBdr>
            <w:top w:val="none" w:sz="0" w:space="0" w:color="auto"/>
            <w:left w:val="none" w:sz="0" w:space="0" w:color="auto"/>
            <w:bottom w:val="none" w:sz="0" w:space="0" w:color="auto"/>
            <w:right w:val="none" w:sz="0" w:space="0" w:color="auto"/>
          </w:divBdr>
        </w:div>
        <w:div w:id="818351070">
          <w:marLeft w:val="2520"/>
          <w:marRight w:val="0"/>
          <w:marTop w:val="0"/>
          <w:marBottom w:val="0"/>
          <w:divBdr>
            <w:top w:val="none" w:sz="0" w:space="0" w:color="auto"/>
            <w:left w:val="none" w:sz="0" w:space="0" w:color="auto"/>
            <w:bottom w:val="none" w:sz="0" w:space="0" w:color="auto"/>
            <w:right w:val="none" w:sz="0" w:space="0" w:color="auto"/>
          </w:divBdr>
        </w:div>
        <w:div w:id="1001467655">
          <w:marLeft w:val="2520"/>
          <w:marRight w:val="0"/>
          <w:marTop w:val="0"/>
          <w:marBottom w:val="0"/>
          <w:divBdr>
            <w:top w:val="none" w:sz="0" w:space="0" w:color="auto"/>
            <w:left w:val="none" w:sz="0" w:space="0" w:color="auto"/>
            <w:bottom w:val="none" w:sz="0" w:space="0" w:color="auto"/>
            <w:right w:val="none" w:sz="0" w:space="0" w:color="auto"/>
          </w:divBdr>
        </w:div>
        <w:div w:id="1262107819">
          <w:marLeft w:val="1800"/>
          <w:marRight w:val="0"/>
          <w:marTop w:val="0"/>
          <w:marBottom w:val="0"/>
          <w:divBdr>
            <w:top w:val="none" w:sz="0" w:space="0" w:color="auto"/>
            <w:left w:val="none" w:sz="0" w:space="0" w:color="auto"/>
            <w:bottom w:val="none" w:sz="0" w:space="0" w:color="auto"/>
            <w:right w:val="none" w:sz="0" w:space="0" w:color="auto"/>
          </w:divBdr>
        </w:div>
        <w:div w:id="1636838102">
          <w:marLeft w:val="1800"/>
          <w:marRight w:val="0"/>
          <w:marTop w:val="0"/>
          <w:marBottom w:val="0"/>
          <w:divBdr>
            <w:top w:val="none" w:sz="0" w:space="0" w:color="auto"/>
            <w:left w:val="none" w:sz="0" w:space="0" w:color="auto"/>
            <w:bottom w:val="none" w:sz="0" w:space="0" w:color="auto"/>
            <w:right w:val="none" w:sz="0" w:space="0" w:color="auto"/>
          </w:divBdr>
        </w:div>
        <w:div w:id="1702895497">
          <w:marLeft w:val="2520"/>
          <w:marRight w:val="0"/>
          <w:marTop w:val="0"/>
          <w:marBottom w:val="0"/>
          <w:divBdr>
            <w:top w:val="none" w:sz="0" w:space="0" w:color="auto"/>
            <w:left w:val="none" w:sz="0" w:space="0" w:color="auto"/>
            <w:bottom w:val="none" w:sz="0" w:space="0" w:color="auto"/>
            <w:right w:val="none" w:sz="0" w:space="0" w:color="auto"/>
          </w:divBdr>
        </w:div>
        <w:div w:id="1995253956">
          <w:marLeft w:val="180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2307883">
      <w:bodyDiv w:val="1"/>
      <w:marLeft w:val="0"/>
      <w:marRight w:val="0"/>
      <w:marTop w:val="0"/>
      <w:marBottom w:val="0"/>
      <w:divBdr>
        <w:top w:val="none" w:sz="0" w:space="0" w:color="auto"/>
        <w:left w:val="none" w:sz="0" w:space="0" w:color="auto"/>
        <w:bottom w:val="none" w:sz="0" w:space="0" w:color="auto"/>
        <w:right w:val="none" w:sz="0" w:space="0" w:color="auto"/>
      </w:divBdr>
      <w:divsChild>
        <w:div w:id="154684660">
          <w:marLeft w:val="1166"/>
          <w:marRight w:val="0"/>
          <w:marTop w:val="0"/>
          <w:marBottom w:val="0"/>
          <w:divBdr>
            <w:top w:val="none" w:sz="0" w:space="0" w:color="auto"/>
            <w:left w:val="none" w:sz="0" w:space="0" w:color="auto"/>
            <w:bottom w:val="none" w:sz="0" w:space="0" w:color="auto"/>
            <w:right w:val="none" w:sz="0" w:space="0" w:color="auto"/>
          </w:divBdr>
        </w:div>
        <w:div w:id="541670315">
          <w:marLeft w:val="1166"/>
          <w:marRight w:val="0"/>
          <w:marTop w:val="0"/>
          <w:marBottom w:val="0"/>
          <w:divBdr>
            <w:top w:val="none" w:sz="0" w:space="0" w:color="auto"/>
            <w:left w:val="none" w:sz="0" w:space="0" w:color="auto"/>
            <w:bottom w:val="none" w:sz="0" w:space="0" w:color="auto"/>
            <w:right w:val="none" w:sz="0" w:space="0" w:color="auto"/>
          </w:divBdr>
        </w:div>
        <w:div w:id="722678339">
          <w:marLeft w:val="547"/>
          <w:marRight w:val="0"/>
          <w:marTop w:val="0"/>
          <w:marBottom w:val="0"/>
          <w:divBdr>
            <w:top w:val="none" w:sz="0" w:space="0" w:color="auto"/>
            <w:left w:val="none" w:sz="0" w:space="0" w:color="auto"/>
            <w:bottom w:val="none" w:sz="0" w:space="0" w:color="auto"/>
            <w:right w:val="none" w:sz="0" w:space="0" w:color="auto"/>
          </w:divBdr>
        </w:div>
        <w:div w:id="1116369041">
          <w:marLeft w:val="1166"/>
          <w:marRight w:val="0"/>
          <w:marTop w:val="0"/>
          <w:marBottom w:val="0"/>
          <w:divBdr>
            <w:top w:val="none" w:sz="0" w:space="0" w:color="auto"/>
            <w:left w:val="none" w:sz="0" w:space="0" w:color="auto"/>
            <w:bottom w:val="none" w:sz="0" w:space="0" w:color="auto"/>
            <w:right w:val="none" w:sz="0" w:space="0" w:color="auto"/>
          </w:divBdr>
        </w:div>
        <w:div w:id="1216970334">
          <w:marLeft w:val="1166"/>
          <w:marRight w:val="0"/>
          <w:marTop w:val="0"/>
          <w:marBottom w:val="0"/>
          <w:divBdr>
            <w:top w:val="none" w:sz="0" w:space="0" w:color="auto"/>
            <w:left w:val="none" w:sz="0" w:space="0" w:color="auto"/>
            <w:bottom w:val="none" w:sz="0" w:space="0" w:color="auto"/>
            <w:right w:val="none" w:sz="0" w:space="0" w:color="auto"/>
          </w:divBdr>
        </w:div>
        <w:div w:id="1267932420">
          <w:marLeft w:val="1166"/>
          <w:marRight w:val="0"/>
          <w:marTop w:val="0"/>
          <w:marBottom w:val="0"/>
          <w:divBdr>
            <w:top w:val="none" w:sz="0" w:space="0" w:color="auto"/>
            <w:left w:val="none" w:sz="0" w:space="0" w:color="auto"/>
            <w:bottom w:val="none" w:sz="0" w:space="0" w:color="auto"/>
            <w:right w:val="none" w:sz="0" w:space="0" w:color="auto"/>
          </w:divBdr>
        </w:div>
        <w:div w:id="1301499923">
          <w:marLeft w:val="547"/>
          <w:marRight w:val="0"/>
          <w:marTop w:val="0"/>
          <w:marBottom w:val="0"/>
          <w:divBdr>
            <w:top w:val="none" w:sz="0" w:space="0" w:color="auto"/>
            <w:left w:val="none" w:sz="0" w:space="0" w:color="auto"/>
            <w:bottom w:val="none" w:sz="0" w:space="0" w:color="auto"/>
            <w:right w:val="none" w:sz="0" w:space="0" w:color="auto"/>
          </w:divBdr>
        </w:div>
        <w:div w:id="1734309653">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5AIRPNAIUNRU-1830940522-14178</_dlc_DocId>
    <_dlc_DocIdUrl xmlns="71c5aaf6-e6ce-465b-b873-5148d2a4c105">
      <Url>https://nokia.sharepoint.com/sites/c5g/5gradio/_layouts/15/DocIdRedir.aspx?ID=5AIRPNAIUNRU-1830940522-14178</Url>
      <Description>5AIRPNAIUNRU-1830940522-14178</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Siddavaatam, Richa (Nokia - US/Naperville)</DisplayName>
        <AccountId>36162</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2.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4E6CEA2-B754-4779-9C95-31AFC2FA1DCC}">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82</TotalTime>
  <Pages>4</Pages>
  <Words>2087</Words>
  <Characters>10515</Characters>
  <Application>Microsoft Office Word</Application>
  <DocSecurity>0</DocSecurity>
  <Lines>87</Lines>
  <Paragraphs>25</Paragraphs>
  <ScaleCrop>false</ScaleCrop>
  <Company>Nokia &amp; NSN</Company>
  <LinksUpToDate>false</LinksUpToDate>
  <CharactersWithSpaces>12577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2019-03-29T02:37:00Z</cp:lastPrinted>
  <dcterms:created xsi:type="dcterms:W3CDTF">2022-02-14T19:23:00Z</dcterms:created>
  <dcterms:modified xsi:type="dcterms:W3CDTF">2022-02-14T19:25:00Z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d69f76bf-aef3-4f66-8043-23a17a09fe81</vt:lpwstr>
  </property>
  <property fmtid="{D5CDD505-2E9C-101B-9397-08002B2CF9AE}" pid="9" name="AuthorIds_UIVersion_2048">
    <vt:lpwstr>14130</vt:lpwstr>
  </property>
  <property fmtid="{D5CDD505-2E9C-101B-9397-08002B2CF9AE}" pid="10" name="AuthorIds_UIVersion_512">
    <vt:lpwstr>14130</vt:lpwstr>
  </property>
</Properties>
</file>